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25F025">
      <w:pPr>
        <w:jc w:val="center"/>
        <w:rPr>
          <w:rFonts w:ascii="微软雅黑" w:hAnsi="微软雅黑" w:eastAsia="微软雅黑"/>
          <w:sz w:val="48"/>
          <w:szCs w:val="48"/>
        </w:rPr>
      </w:pPr>
    </w:p>
    <w:p w14:paraId="3FD2E0FC">
      <w:pPr>
        <w:jc w:val="center"/>
        <w:rPr>
          <w:rFonts w:ascii="微软雅黑" w:hAnsi="微软雅黑" w:eastAsia="微软雅黑"/>
          <w:sz w:val="48"/>
          <w:szCs w:val="48"/>
        </w:rPr>
      </w:pPr>
    </w:p>
    <w:p w14:paraId="14E54CF8">
      <w:pPr>
        <w:jc w:val="center"/>
        <w:rPr>
          <w:rFonts w:ascii="微软雅黑" w:hAnsi="微软雅黑" w:eastAsia="微软雅黑"/>
          <w:sz w:val="48"/>
          <w:szCs w:val="48"/>
        </w:rPr>
      </w:pPr>
    </w:p>
    <w:p w14:paraId="48680420">
      <w:pPr>
        <w:jc w:val="center"/>
        <w:outlineLvl w:val="0"/>
        <w:rPr>
          <w:rFonts w:hint="default" w:ascii="微软雅黑" w:hAnsi="微软雅黑" w:eastAsia="微软雅黑"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/>
          <w:sz w:val="48"/>
          <w:szCs w:val="48"/>
          <w:lang w:val="en-US" w:eastAsia="zh-CN"/>
        </w:rPr>
        <w:t>广交所交易系统</w:t>
      </w:r>
      <w:r>
        <w:rPr>
          <w:rFonts w:hint="eastAsia" w:ascii="微软雅黑" w:hAnsi="微软雅黑" w:eastAsia="微软雅黑"/>
          <w:sz w:val="48"/>
          <w:szCs w:val="48"/>
        </w:rPr>
        <w:t>操作手册</w:t>
      </w:r>
      <w:r>
        <w:rPr>
          <w:rFonts w:hint="eastAsia" w:ascii="微软雅黑" w:hAnsi="微软雅黑" w:eastAsia="微软雅黑"/>
          <w:sz w:val="48"/>
          <w:szCs w:val="48"/>
          <w:lang w:eastAsia="zh-CN"/>
        </w:rPr>
        <w:t>——</w:t>
      </w:r>
      <w:r>
        <w:rPr>
          <w:rFonts w:hint="eastAsia" w:ascii="微软雅黑" w:hAnsi="微软雅黑" w:eastAsia="微软雅黑"/>
          <w:sz w:val="48"/>
          <w:szCs w:val="48"/>
          <w:lang w:val="en-US" w:eastAsia="zh-CN"/>
        </w:rPr>
        <w:t>意向方</w:t>
      </w:r>
    </w:p>
    <w:p w14:paraId="317666F4">
      <w:pPr>
        <w:jc w:val="center"/>
        <w:rPr>
          <w:rFonts w:ascii="微软雅黑" w:hAnsi="微软雅黑" w:eastAsia="微软雅黑"/>
          <w:sz w:val="48"/>
          <w:szCs w:val="48"/>
        </w:rPr>
      </w:pPr>
    </w:p>
    <w:p w14:paraId="00C68562">
      <w:pPr>
        <w:pStyle w:val="2"/>
        <w:outlineLvl w:val="0"/>
        <w:rPr>
          <w:rStyle w:val="18"/>
          <w:b/>
          <w:bCs/>
        </w:rPr>
      </w:pPr>
      <w:r>
        <w:rPr>
          <w:rFonts w:ascii="微软雅黑" w:hAnsi="微软雅黑" w:eastAsia="微软雅黑"/>
        </w:rPr>
        <w:br w:type="page"/>
      </w:r>
      <w:bookmarkStart w:id="0" w:name="_Toc12365930"/>
      <w:r>
        <w:rPr>
          <w:rStyle w:val="18"/>
          <w:rFonts w:hint="eastAsia"/>
          <w:b/>
          <w:bCs/>
        </w:rPr>
        <w:t>一、注册</w:t>
      </w:r>
      <w:bookmarkEnd w:id="0"/>
    </w:p>
    <w:p w14:paraId="75F3645C">
      <w:pPr>
        <w:pStyle w:val="3"/>
        <w:bidi w:val="0"/>
      </w:pPr>
      <w:bookmarkStart w:id="1" w:name="_Toc26294"/>
      <w:r>
        <w:rPr>
          <w:rFonts w:hint="eastAsia"/>
        </w:rPr>
        <w:t>1、进入官网</w:t>
      </w:r>
      <w:bookmarkEnd w:id="1"/>
    </w:p>
    <w:p w14:paraId="20C163BE"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输入</w:t>
      </w:r>
      <w:r>
        <w:rPr>
          <w:rFonts w:hint="eastAsia" w:ascii="微软雅黑" w:hAnsi="微软雅黑" w:eastAsia="微软雅黑"/>
          <w:lang w:val="en-US" w:eastAsia="zh-CN"/>
        </w:rPr>
        <w:t>广交所</w:t>
      </w:r>
      <w:r>
        <w:rPr>
          <w:rFonts w:hint="eastAsia" w:ascii="微软雅黑" w:hAnsi="微软雅黑" w:eastAsia="微软雅黑"/>
        </w:rPr>
        <w:t>官方网址（</w:t>
      </w:r>
      <w:r>
        <w:rPr>
          <w:rFonts w:hint="eastAsia"/>
        </w:rPr>
        <w:t>https://new.gemas.com.cn</w:t>
      </w:r>
      <w:r>
        <w:rPr>
          <w:rFonts w:hint="eastAsia" w:ascii="微软雅黑" w:hAnsi="微软雅黑" w:eastAsia="微软雅黑"/>
        </w:rPr>
        <w:t>），进入首页。如果是新用户，需先通过官网</w:t>
      </w:r>
      <w:r>
        <w:rPr>
          <w:rFonts w:hint="eastAsia" w:ascii="微软雅黑" w:hAnsi="微软雅黑" w:eastAsia="微软雅黑"/>
          <w:lang w:val="en-US" w:eastAsia="zh-CN"/>
        </w:rPr>
        <w:t>左</w:t>
      </w:r>
      <w:r>
        <w:rPr>
          <w:rFonts w:hint="eastAsia" w:ascii="微软雅黑" w:hAnsi="微软雅黑" w:eastAsia="微软雅黑"/>
        </w:rPr>
        <w:t>上方或</w:t>
      </w:r>
      <w:r>
        <w:rPr>
          <w:rFonts w:hint="eastAsia" w:ascii="微软雅黑" w:hAnsi="微软雅黑" w:eastAsia="微软雅黑"/>
          <w:lang w:val="en-US" w:eastAsia="zh-CN"/>
        </w:rPr>
        <w:t>右</w:t>
      </w:r>
      <w:r>
        <w:rPr>
          <w:rFonts w:hint="eastAsia" w:ascii="微软雅黑" w:hAnsi="微软雅黑" w:eastAsia="微软雅黑"/>
        </w:rPr>
        <w:t>侧注册按钮进行注册。</w:t>
      </w:r>
    </w:p>
    <w:p w14:paraId="6AA3235B"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5039995" cy="2344420"/>
            <wp:effectExtent l="0" t="0" r="825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DFC91">
      <w:pPr>
        <w:pStyle w:val="3"/>
        <w:numPr>
          <w:ilvl w:val="0"/>
          <w:numId w:val="1"/>
        </w:numPr>
        <w:bidi w:val="0"/>
        <w:outlineLvl w:val="1"/>
        <w:rPr>
          <w:rFonts w:hint="eastAsia"/>
        </w:rPr>
      </w:pPr>
      <w:bookmarkStart w:id="2" w:name="_Toc26616"/>
      <w:r>
        <w:rPr>
          <w:rFonts w:hint="eastAsia"/>
        </w:rPr>
        <w:t>注册并完善资料</w:t>
      </w:r>
      <w:bookmarkEnd w:id="2"/>
    </w:p>
    <w:p w14:paraId="5F23F52F">
      <w:pPr>
        <w:numPr>
          <w:ilvl w:val="0"/>
          <w:numId w:val="2"/>
        </w:numPr>
        <w:bidi w:val="0"/>
        <w:ind w:left="425" w:leftChars="0" w:hanging="425" w:firstLineChars="0"/>
        <w:outlineLvl w:val="2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注册页面</w:t>
      </w:r>
      <w:r>
        <w:rPr>
          <w:rFonts w:hint="eastAsia" w:ascii="微软雅黑" w:hAnsi="微软雅黑" w:eastAsia="微软雅黑"/>
          <w:lang w:val="en-US" w:eastAsia="zh-CN"/>
        </w:rPr>
        <w:t>填写登录账号密码与正确手机号，</w:t>
      </w:r>
      <w:r>
        <w:rPr>
          <w:rFonts w:hint="eastAsia" w:ascii="微软雅黑" w:hAnsi="微软雅黑" w:eastAsia="微软雅黑"/>
        </w:rPr>
        <w:t>进行下一步操作。</w:t>
      </w:r>
    </w:p>
    <w:p w14:paraId="23E7F7E4">
      <w:pPr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039995" cy="2837180"/>
            <wp:effectExtent l="0" t="0" r="8255" b="1270"/>
            <wp:docPr id="3" name="图片 3" descr="VG(G69YAVJE1)1C9@YPU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VG(G69YAVJE1)1C9@YPUON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C3A76">
      <w:pPr>
        <w:numPr>
          <w:ilvl w:val="0"/>
          <w:numId w:val="2"/>
        </w:numPr>
        <w:ind w:left="425" w:leftChars="0" w:hanging="425" w:firstLineChars="0"/>
        <w:outlineLvl w:val="2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</w:rPr>
        <w:t>如果企业用户，选择企业注册</w:t>
      </w:r>
      <w:r>
        <w:rPr>
          <w:rFonts w:hint="eastAsia" w:ascii="微软雅黑" w:hAnsi="微软雅黑" w:eastAsia="微软雅黑"/>
          <w:lang w:val="en-US" w:eastAsia="zh-CN"/>
        </w:rPr>
        <w:t>并完善信息，</w:t>
      </w:r>
      <w:r>
        <w:rPr>
          <w:rFonts w:hint="eastAsia" w:ascii="微软雅黑" w:hAnsi="微软雅黑" w:eastAsia="微软雅黑"/>
        </w:rPr>
        <w:t>进行下一步操作</w:t>
      </w:r>
      <w:r>
        <w:rPr>
          <w:rFonts w:hint="eastAsia" w:ascii="微软雅黑" w:hAnsi="微软雅黑" w:eastAsia="微软雅黑"/>
          <w:lang w:val="en-US" w:eastAsia="zh-CN"/>
        </w:rPr>
        <w:t>。</w:t>
      </w:r>
    </w:p>
    <w:p w14:paraId="21C6764A">
      <w:pPr>
        <w:numPr>
          <w:ilvl w:val="0"/>
          <w:numId w:val="0"/>
        </w:numPr>
        <w:jc w:val="center"/>
        <w:rPr>
          <w:rFonts w:hint="eastAsia" w:ascii="微软雅黑" w:hAnsi="微软雅黑" w:eastAsia="微软雅黑"/>
          <w:lang w:eastAsia="zh-CN"/>
        </w:rPr>
      </w:pPr>
      <w:r>
        <w:rPr>
          <w:rFonts w:hint="default" w:ascii="微软雅黑" w:hAnsi="微软雅黑" w:eastAsia="微软雅黑"/>
          <w:lang w:val="en-US" w:eastAsia="zh-CN"/>
        </w:rPr>
        <w:drawing>
          <wp:inline distT="0" distB="0" distL="114300" distR="114300">
            <wp:extent cx="5039995" cy="5446395"/>
            <wp:effectExtent l="0" t="0" r="8255" b="1905"/>
            <wp:docPr id="5" name="图片 5" descr="61]I5FYK6(]_8)II895W9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1]I5FYK6(]_8)II895W9R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544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E7368">
      <w:pPr>
        <w:numPr>
          <w:ilvl w:val="0"/>
          <w:numId w:val="2"/>
        </w:numPr>
        <w:ind w:left="0" w:leftChars="0" w:firstLine="0" w:firstLineChars="0"/>
        <w:outlineLvl w:val="2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如果个人用户，选择个人注册</w:t>
      </w:r>
      <w:r>
        <w:rPr>
          <w:rFonts w:hint="eastAsia" w:ascii="微软雅黑" w:hAnsi="微软雅黑" w:eastAsia="微软雅黑"/>
          <w:lang w:val="en-US" w:eastAsia="zh-CN"/>
        </w:rPr>
        <w:t>并完善信息，</w:t>
      </w:r>
      <w:r>
        <w:rPr>
          <w:rFonts w:hint="eastAsia" w:ascii="微软雅黑" w:hAnsi="微软雅黑" w:eastAsia="微软雅黑"/>
        </w:rPr>
        <w:t>进行下一步操作。</w:t>
      </w:r>
    </w:p>
    <w:p w14:paraId="2A82D6E7">
      <w:pPr>
        <w:numPr>
          <w:ilvl w:val="0"/>
          <w:numId w:val="0"/>
        </w:numPr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5039995" cy="5612130"/>
            <wp:effectExtent l="0" t="0" r="8255" b="762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EF003">
      <w:pPr>
        <w:numPr>
          <w:ilvl w:val="0"/>
          <w:numId w:val="2"/>
        </w:numPr>
        <w:ind w:left="0" w:leftChars="0" w:firstLine="0" w:firstLineChars="0"/>
        <w:outlineLvl w:val="2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信息录入完成，将提示注册成功。</w:t>
      </w:r>
    </w:p>
    <w:p w14:paraId="179ACE2C">
      <w:pPr>
        <w:numPr>
          <w:ilvl w:val="0"/>
          <w:numId w:val="0"/>
        </w:numPr>
        <w:ind w:leftChars="0"/>
        <w:jc w:val="center"/>
        <w:rPr>
          <w:rFonts w:hint="default" w:ascii="微软雅黑" w:hAnsi="微软雅黑" w:eastAsia="微软雅黑"/>
          <w:lang w:val="en-US" w:eastAsia="zh-CN"/>
        </w:rPr>
      </w:pPr>
      <w:r>
        <w:rPr>
          <w:rFonts w:hint="default" w:ascii="微软雅黑" w:hAnsi="微软雅黑" w:eastAsia="微软雅黑"/>
          <w:lang w:val="en-US" w:eastAsia="zh-CN"/>
        </w:rPr>
        <w:drawing>
          <wp:inline distT="0" distB="0" distL="114300" distR="114300">
            <wp:extent cx="5039995" cy="3199130"/>
            <wp:effectExtent l="0" t="0" r="8255" b="1270"/>
            <wp:docPr id="8" name="图片 8" descr="63FFZHR6P6_1K$HVF$($L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3FFZHR6P6_1K$HVF$($LZ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D2393">
      <w:pPr>
        <w:pStyle w:val="2"/>
        <w:bidi w:val="0"/>
      </w:pPr>
      <w:bookmarkStart w:id="3" w:name="_Toc30003"/>
      <w:r>
        <w:rPr>
          <w:rFonts w:hint="eastAsia"/>
        </w:rPr>
        <w:t>二、登录</w:t>
      </w:r>
      <w:bookmarkEnd w:id="3"/>
    </w:p>
    <w:p w14:paraId="018E1E45">
      <w:pPr>
        <w:pStyle w:val="3"/>
        <w:bidi w:val="0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如果用户已经注册，则可以直接在官网登录。点击首页顶部的“登录”按钮进入登录。</w:t>
      </w:r>
    </w:p>
    <w:p w14:paraId="44736866">
      <w:pPr>
        <w:ind w:left="142"/>
      </w:pPr>
      <w:r>
        <w:drawing>
          <wp:inline distT="0" distB="0" distL="114300" distR="114300">
            <wp:extent cx="5039995" cy="2344420"/>
            <wp:effectExtent l="0" t="0" r="8255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F4A1E">
      <w:pPr>
        <w:pStyle w:val="3"/>
        <w:bidi w:val="0"/>
      </w:pPr>
      <w:r>
        <w:rPr>
          <w:rFonts w:hint="eastAsia"/>
          <w:lang w:val="en-US" w:eastAsia="zh-CN"/>
        </w:rPr>
        <w:t>2、填写账号密码进行登录</w:t>
      </w:r>
    </w:p>
    <w:p w14:paraId="3A1CF631">
      <w:pPr>
        <w:ind w:left="142"/>
        <w:jc w:val="both"/>
      </w:pPr>
    </w:p>
    <w:p w14:paraId="08A11417">
      <w:pPr>
        <w:ind w:left="142"/>
        <w:jc w:val="both"/>
      </w:pPr>
      <w:r>
        <w:drawing>
          <wp:inline distT="0" distB="0" distL="114300" distR="114300">
            <wp:extent cx="5039995" cy="3017520"/>
            <wp:effectExtent l="0" t="0" r="8255" b="1143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68D1D">
      <w:pPr>
        <w:ind w:left="142"/>
        <w:jc w:val="both"/>
        <w:rPr>
          <w:rFonts w:hint="eastAsia"/>
          <w:lang w:val="en-US" w:eastAsia="zh-CN"/>
        </w:rPr>
      </w:pPr>
    </w:p>
    <w:p w14:paraId="248C8EF9">
      <w:pPr>
        <w:pStyle w:val="2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会员中心实名认证（企业身份）</w:t>
      </w:r>
    </w:p>
    <w:p w14:paraId="3705D7CE"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1、新注册账号需要进行实名认证</w:t>
      </w:r>
    </w:p>
    <w:p w14:paraId="17C2CFDE">
      <w:pPr>
        <w:numPr>
          <w:ilvl w:val="0"/>
          <w:numId w:val="0"/>
        </w:numPr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（1）进入会员中心，新注册的用户需要实名认证完善信息</w:t>
      </w:r>
    </w:p>
    <w:p w14:paraId="5E01A3D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039995" cy="1911985"/>
            <wp:effectExtent l="0" t="0" r="8255" b="12065"/>
            <wp:docPr id="13" name="图片 13" descr="P}SOH[NF14LHL`]Q433BUV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P}SOH[NF14LHL`]Q433BUVR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2021D">
      <w:pPr>
        <w:numPr>
          <w:ilvl w:val="0"/>
          <w:numId w:val="4"/>
        </w:numPr>
        <w:bidi w:val="0"/>
        <w:outlineLvl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实名认证有一次修改单位名称的机会，请仔细核对单位名称、法人与营业执照的信息，并上传【营业执照/事业单位法人证书】附件。点击立刻认证。</w:t>
      </w:r>
    </w:p>
    <w:p w14:paraId="292697FD">
      <w:pPr>
        <w:numPr>
          <w:ilvl w:val="0"/>
          <w:numId w:val="0"/>
        </w:num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039995" cy="4469130"/>
            <wp:effectExtent l="0" t="0" r="8255" b="7620"/>
            <wp:docPr id="14" name="图片 14" descr="[RQOPBC3TZNX[CK9CDF2Y1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[RQOPBC3TZNX[CK9CDF2Y1U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5E243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2、跳转至机构认证界面</w:t>
      </w:r>
    </w:p>
    <w:p w14:paraId="7090B4E8">
      <w:pPr>
        <w:widowControl w:val="0"/>
        <w:numPr>
          <w:ilvl w:val="0"/>
          <w:numId w:val="0"/>
        </w:numPr>
        <w:bidi w:val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39995" cy="1488440"/>
            <wp:effectExtent l="0" t="0" r="8255" b="16510"/>
            <wp:docPr id="16" name="图片 16" descr="MV]E[%MZ{_Z8{GB]K)3TG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V]E[%MZ{_Z8{GB]K)3TGXT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CF792">
      <w:pPr>
        <w:widowControl w:val="0"/>
        <w:numPr>
          <w:ilvl w:val="0"/>
          <w:numId w:val="0"/>
        </w:numPr>
        <w:bidi w:val="0"/>
        <w:jc w:val="left"/>
        <w:outlineLvl w:val="2"/>
      </w:pPr>
      <w:r>
        <w:rPr>
          <w:rFonts w:hint="eastAsia"/>
          <w:lang w:val="en-US" w:eastAsia="zh-CN"/>
        </w:rPr>
        <w:t>（1）当组织类型为【企业】时，认证方式为【法定代表人/负责人认证】、【对公打款认证】、【KEY认证】</w:t>
      </w:r>
      <w:r>
        <w:drawing>
          <wp:inline distT="0" distB="0" distL="114300" distR="114300">
            <wp:extent cx="5268595" cy="8505825"/>
            <wp:effectExtent l="0" t="0" r="8255" b="952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8127A">
      <w:pPr>
        <w:widowControl w:val="0"/>
        <w:numPr>
          <w:ilvl w:val="0"/>
          <w:numId w:val="0"/>
        </w:numPr>
        <w:bidi w:val="0"/>
        <w:jc w:val="left"/>
        <w:outlineLvl w:val="2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当组织类型为【个体工商户】时，认证方式为【经营者认证】、【对公打款认证】、【KEY认证】</w:t>
      </w:r>
      <w:r>
        <w:drawing>
          <wp:inline distT="0" distB="0" distL="114300" distR="114300">
            <wp:extent cx="5265420" cy="8051165"/>
            <wp:effectExtent l="0" t="0" r="11430" b="698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05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5E189">
      <w:pPr>
        <w:widowControl w:val="0"/>
        <w:numPr>
          <w:ilvl w:val="0"/>
          <w:numId w:val="0"/>
        </w:numPr>
        <w:bidi w:val="0"/>
        <w:jc w:val="left"/>
        <w:outlineLvl w:val="2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当组织类型为【政府】、【事业单位】、【其他大陆组织】时，认证方式为【对公打款认证】、【KEY认证】</w:t>
      </w:r>
      <w:r>
        <w:drawing>
          <wp:inline distT="0" distB="0" distL="114300" distR="114300">
            <wp:extent cx="5264785" cy="8052435"/>
            <wp:effectExtent l="0" t="0" r="12065" b="571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05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357A8">
      <w:pPr>
        <w:widowControl w:val="0"/>
        <w:numPr>
          <w:ilvl w:val="0"/>
          <w:numId w:val="0"/>
        </w:numPr>
        <w:bidi w:val="0"/>
        <w:jc w:val="left"/>
        <w:outlineLvl w:val="2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当组织类型为【港澳台及海外组织】时，认证方式仅为【对公打款认证】</w:t>
      </w:r>
      <w:r>
        <w:drawing>
          <wp:inline distT="0" distB="0" distL="114300" distR="114300">
            <wp:extent cx="5270500" cy="6952615"/>
            <wp:effectExtent l="0" t="0" r="6350" b="63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5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C1562">
      <w:pPr>
        <w:pStyle w:val="2"/>
        <w:numPr>
          <w:ilvl w:val="0"/>
          <w:numId w:val="3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会员中心实名认证（个人身份）</w:t>
      </w:r>
    </w:p>
    <w:p w14:paraId="03986AF1"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1、新注册账号需要进行实名认证</w:t>
      </w:r>
    </w:p>
    <w:p w14:paraId="4FB426D6">
      <w:pPr>
        <w:numPr>
          <w:ilvl w:val="0"/>
          <w:numId w:val="0"/>
        </w:numPr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（1）进入会员中心，新注册的用户需要实名认证完善信息</w:t>
      </w:r>
    </w:p>
    <w:p w14:paraId="76F57906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1957070"/>
            <wp:effectExtent l="0" t="0" r="254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C82EF">
      <w:pPr>
        <w:outlineLvl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（2）实名认证有一次修改个人名称的机会，请仔细核对姓名与证件号码的信息。点击立刻认证</w:t>
      </w:r>
    </w:p>
    <w:p w14:paraId="7EE3E799">
      <w:r>
        <w:drawing>
          <wp:inline distT="0" distB="0" distL="114300" distR="114300">
            <wp:extent cx="4800600" cy="4352925"/>
            <wp:effectExtent l="0" t="0" r="0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987CB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2、跳转至个人实名认证界面</w:t>
      </w:r>
    </w:p>
    <w:p w14:paraId="279E813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391410"/>
            <wp:effectExtent l="0" t="0" r="3810" b="889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28807">
      <w:pPr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（1）大陆居民实名认证有三种认证方式：【人脸识别认证】、【手机号认证】、【银行卡认证】</w:t>
      </w:r>
    </w:p>
    <w:p w14:paraId="07274A68">
      <w:r>
        <w:drawing>
          <wp:inline distT="0" distB="0" distL="114300" distR="114300">
            <wp:extent cx="5270500" cy="2717800"/>
            <wp:effectExtent l="0" t="0" r="6350" b="635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66E23">
      <w:pPr>
        <w:outlineLvl w:val="2"/>
      </w:pPr>
      <w:r>
        <w:rPr>
          <w:rFonts w:hint="eastAsia"/>
          <w:lang w:val="en-US" w:eastAsia="zh-CN"/>
        </w:rPr>
        <w:t>（2）港澳台及海外用户实名认证有五种认证方式：【护照】、【港澳证件】、【台湾证件】、【港澳台居住证】、【外国人永久居留身份证】</w:t>
      </w:r>
    </w:p>
    <w:p w14:paraId="1DFAB7EF">
      <w:r>
        <w:drawing>
          <wp:inline distT="0" distB="0" distL="114300" distR="114300">
            <wp:extent cx="5267960" cy="3891280"/>
            <wp:effectExtent l="0" t="0" r="8890" b="1397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2A213"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委托方权限申请</w:t>
      </w:r>
    </w:p>
    <w:p w14:paraId="1FC0E7F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当个人身份会员实名制之后，可以向机构申请委托方权限。添加委托方身份发布委托项目。</w:t>
      </w:r>
    </w:p>
    <w:p w14:paraId="2194D790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4629785"/>
            <wp:effectExtent l="0" t="0" r="2540" b="18415"/>
            <wp:docPr id="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8AA41">
      <w:pPr>
        <w:pStyle w:val="2"/>
        <w:numPr>
          <w:ilvl w:val="0"/>
          <w:numId w:val="3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意向方项目报名 </w:t>
      </w:r>
    </w:p>
    <w:p w14:paraId="2582E66A">
      <w:pPr>
        <w:pStyle w:val="3"/>
        <w:numPr>
          <w:ilvl w:val="0"/>
          <w:numId w:val="5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报名端口（网页端）</w:t>
      </w:r>
    </w:p>
    <w:p w14:paraId="1FBFA692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访问广交所官网(</w:t>
      </w:r>
      <w:r>
        <w:rPr>
          <w:rFonts w:hint="default"/>
          <w:lang w:val="en-US" w:eastAsia="zh-CN"/>
        </w:rPr>
        <w:t>https://newtest.gemas.com.cn</w:t>
      </w:r>
      <w:r>
        <w:rPr>
          <w:rFonts w:hint="eastAsia"/>
          <w:lang w:val="en-US" w:eastAsia="zh-CN"/>
        </w:rPr>
        <w:t>)。搜索感兴趣的项目点击报名。</w:t>
      </w:r>
    </w:p>
    <w:p w14:paraId="7C4B9368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039995" cy="3244850"/>
            <wp:effectExtent l="0" t="0" r="8255" b="1270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EA849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039995" cy="3335655"/>
            <wp:effectExtent l="0" t="0" r="8255" b="1714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18017">
      <w:pPr>
        <w:pStyle w:val="3"/>
        <w:numPr>
          <w:ilvl w:val="0"/>
          <w:numId w:val="5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报名端口（业务系统端）</w:t>
      </w:r>
    </w:p>
    <w:p w14:paraId="613402C0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登录业务系统，进入【我的交易】——【项目列表】，支持检索项目名称、项目所在地与委托方。选择项目点击报名。</w:t>
      </w:r>
    </w:p>
    <w:p w14:paraId="6EBE7AD9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0975" cy="1691005"/>
            <wp:effectExtent l="0" t="0" r="15875" b="444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8966C">
      <w:pPr>
        <w:bidi w:val="0"/>
        <w:rPr>
          <w:rFonts w:hint="eastAsia"/>
          <w:color w:val="FF0000"/>
          <w:lang w:val="en-US" w:eastAsia="zh-CN"/>
        </w:rPr>
      </w:pPr>
    </w:p>
    <w:p w14:paraId="70C75F12">
      <w:pPr>
        <w:bidi w:val="0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以上两个端口报名，均需已完成实名认证，方可参与项目。</w:t>
      </w:r>
    </w:p>
    <w:p w14:paraId="2AF2FB4F">
      <w:pPr>
        <w:bidi w:val="0"/>
        <w:rPr>
          <w:rFonts w:hint="default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参与项目后需要仔细阅读报名须知</w:t>
      </w:r>
    </w:p>
    <w:p w14:paraId="689B6524">
      <w:pPr>
        <w:bidi w:val="0"/>
        <w:rPr>
          <w:rFonts w:hint="default"/>
          <w:b/>
          <w:bCs/>
          <w:color w:val="FF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770" cy="2761615"/>
            <wp:effectExtent l="0" t="0" r="5080" b="63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5CC5E">
      <w:pPr>
        <w:pStyle w:val="3"/>
        <w:numPr>
          <w:ilvl w:val="0"/>
          <w:numId w:val="5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项目报名（普通项目）</w:t>
      </w:r>
    </w:p>
    <w:p w14:paraId="59D02022">
      <w:pPr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（1）在同意报名须知之后，请会员仔细核对报名基本信息。</w:t>
      </w:r>
    </w:p>
    <w:p w14:paraId="19758F71">
      <w:r>
        <w:drawing>
          <wp:inline distT="0" distB="0" distL="114300" distR="114300">
            <wp:extent cx="5268595" cy="2905125"/>
            <wp:effectExtent l="0" t="0" r="8255" b="9525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EFF2F"/>
    <w:p w14:paraId="12753E1C">
      <w:pPr>
        <w:widowControl w:val="0"/>
        <w:numPr>
          <w:ilvl w:val="0"/>
          <w:numId w:val="6"/>
        </w:numPr>
        <w:ind w:left="0" w:leftChars="0" w:firstLine="0" w:firstLineChars="0"/>
        <w:jc w:val="left"/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【资金支付方式】——【钱包支付】中，用户可以选择是否授权保证金自动缴纳。请仔细阅读缴纳规则之后慎重选择。</w:t>
      </w:r>
    </w:p>
    <w:p w14:paraId="20450C60">
      <w:pPr>
        <w:rPr>
          <w:rFonts w:hint="eastAsia" w:ascii="微软雅黑" w:hAnsi="微软雅黑" w:eastAsia="微软雅黑" w:cs="微软雅黑"/>
          <w:i w:val="0"/>
          <w:iCs w:val="0"/>
          <w:caps w:val="0"/>
          <w:color w:val="E8590C"/>
          <w:spacing w:val="0"/>
          <w:sz w:val="19"/>
          <w:szCs w:val="19"/>
          <w:shd w:val="clear" w:fill="F9F9F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8590C"/>
          <w:spacing w:val="0"/>
          <w:sz w:val="19"/>
          <w:szCs w:val="19"/>
          <w:shd w:val="clear" w:fill="F9F9F9"/>
        </w:rPr>
        <w:t>若您同时参与多个项目且均授权系统自动冻结保证金，系统将按照您参与项目的保证金缴纳截止时间的先后顺序自动冻结；如保证金缴纳截止时间相同，则按照您提交报名时间的先后顺序进行自动冻结。</w:t>
      </w:r>
    </w:p>
    <w:p w14:paraId="42E9E91F">
      <w:pPr>
        <w:rPr>
          <w:rFonts w:hint="eastAsia" w:ascii="微软雅黑" w:hAnsi="微软雅黑" w:eastAsia="微软雅黑" w:cs="微软雅黑"/>
          <w:i w:val="0"/>
          <w:iCs w:val="0"/>
          <w:caps w:val="0"/>
          <w:color w:val="E8590C"/>
          <w:spacing w:val="0"/>
          <w:sz w:val="19"/>
          <w:szCs w:val="19"/>
          <w:shd w:val="clear" w:fill="F9F9F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8590C"/>
          <w:spacing w:val="0"/>
          <w:sz w:val="19"/>
          <w:szCs w:val="19"/>
          <w:shd w:val="clear" w:fill="F9F9F9"/>
        </w:rPr>
        <w:br w:type="page"/>
      </w:r>
    </w:p>
    <w:p w14:paraId="779E311C">
      <w:pPr>
        <w:jc w:val="center"/>
      </w:pPr>
      <w:r>
        <w:drawing>
          <wp:inline distT="0" distB="0" distL="114300" distR="114300">
            <wp:extent cx="5039995" cy="2630170"/>
            <wp:effectExtent l="0" t="0" r="8255" b="1778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643BF">
      <w:pPr>
        <w:jc w:val="center"/>
      </w:pPr>
    </w:p>
    <w:p w14:paraId="6B64B78E">
      <w:pPr>
        <w:widowControl w:val="0"/>
        <w:numPr>
          <w:ilvl w:val="0"/>
          <w:numId w:val="6"/>
        </w:numPr>
        <w:ind w:left="0" w:leftChars="0" w:firstLine="0" w:firstLineChars="0"/>
        <w:jc w:val="both"/>
        <w:outlineLvl w:val="2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请仔细核对开票信息，此信息关联后续系统自动开具发票。</w:t>
      </w:r>
    </w:p>
    <w:p w14:paraId="5BE55DDA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4150" cy="1494155"/>
            <wp:effectExtent l="0" t="0" r="12700" b="10795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58708">
      <w:pPr>
        <w:widowControl w:val="0"/>
        <w:numPr>
          <w:ilvl w:val="0"/>
          <w:numId w:val="0"/>
        </w:numPr>
        <w:jc w:val="both"/>
      </w:pPr>
    </w:p>
    <w:p w14:paraId="4EAFE891">
      <w:pPr>
        <w:widowControl w:val="0"/>
        <w:numPr>
          <w:ilvl w:val="0"/>
          <w:numId w:val="6"/>
        </w:numPr>
        <w:ind w:left="0" w:leftChars="0" w:firstLine="0" w:firstLineChars="0"/>
        <w:jc w:val="left"/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信息核对无误之后，点击【立即报名】</w:t>
      </w:r>
    </w:p>
    <w:p w14:paraId="0C614F39">
      <w:pPr>
        <w:widowControl w:val="0"/>
        <w:numPr>
          <w:ilvl w:val="0"/>
          <w:numId w:val="0"/>
        </w:numPr>
        <w:ind w:leftChars="0"/>
        <w:jc w:val="left"/>
        <w:outlineLvl w:val="9"/>
      </w:pPr>
      <w:r>
        <w:rPr>
          <w:rFonts w:hint="eastAsia"/>
          <w:color w:val="auto"/>
          <w:lang w:val="en-US" w:eastAsia="zh-CN"/>
        </w:rPr>
        <w:t>当</w:t>
      </w:r>
      <w:r>
        <w:rPr>
          <w:rFonts w:hint="eastAsia"/>
          <w:color w:val="FF0000"/>
          <w:lang w:val="en-US" w:eastAsia="zh-CN"/>
        </w:rPr>
        <w:t>同意</w:t>
      </w:r>
      <w:r>
        <w:rPr>
          <w:rFonts w:hint="eastAsia"/>
          <w:color w:val="auto"/>
          <w:lang w:val="en-US" w:eastAsia="zh-CN"/>
        </w:rPr>
        <w:t>自动支付且钱包余额</w:t>
      </w:r>
      <w:r>
        <w:rPr>
          <w:rFonts w:hint="eastAsia"/>
          <w:color w:val="FF0000"/>
          <w:lang w:val="en-US" w:eastAsia="zh-CN"/>
        </w:rPr>
        <w:t>不足</w:t>
      </w:r>
      <w:r>
        <w:rPr>
          <w:rFonts w:hint="eastAsia"/>
          <w:color w:val="auto"/>
          <w:lang w:val="en-US" w:eastAsia="zh-CN"/>
        </w:rPr>
        <w:t>时，系统将提示用户进行钱包充值缴纳</w:t>
      </w:r>
      <w:r>
        <w:drawing>
          <wp:inline distT="0" distB="0" distL="114300" distR="114300">
            <wp:extent cx="5260340" cy="1213485"/>
            <wp:effectExtent l="0" t="0" r="16510" b="5715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F3DC">
      <w:pPr>
        <w:widowControl w:val="0"/>
        <w:numPr>
          <w:ilvl w:val="0"/>
          <w:numId w:val="0"/>
        </w:numPr>
        <w:ind w:leftChars="0"/>
        <w:jc w:val="left"/>
        <w:outlineLvl w:val="9"/>
      </w:pPr>
      <w:r>
        <w:rPr>
          <w:rFonts w:hint="eastAsia"/>
          <w:color w:val="auto"/>
          <w:lang w:val="en-US" w:eastAsia="zh-CN"/>
        </w:rPr>
        <w:t>当</w:t>
      </w:r>
      <w:r>
        <w:rPr>
          <w:rFonts w:hint="eastAsia"/>
          <w:color w:val="FF0000"/>
          <w:lang w:val="en-US" w:eastAsia="zh-CN"/>
        </w:rPr>
        <w:t>同意</w:t>
      </w:r>
      <w:r>
        <w:rPr>
          <w:rFonts w:hint="eastAsia"/>
          <w:color w:val="auto"/>
          <w:lang w:val="en-US" w:eastAsia="zh-CN"/>
        </w:rPr>
        <w:t>自动支付且钱包余额</w:t>
      </w:r>
      <w:r>
        <w:rPr>
          <w:rFonts w:hint="eastAsia"/>
          <w:color w:val="FF0000"/>
          <w:lang w:val="en-US" w:eastAsia="zh-CN"/>
        </w:rPr>
        <w:t>充足</w:t>
      </w:r>
      <w:r>
        <w:rPr>
          <w:rFonts w:hint="eastAsia"/>
          <w:color w:val="auto"/>
          <w:lang w:val="en-US" w:eastAsia="zh-CN"/>
        </w:rPr>
        <w:t>时，系统将提示帮用户自动缴纳保证金</w:t>
      </w:r>
      <w:r>
        <w:drawing>
          <wp:inline distT="0" distB="0" distL="114300" distR="114300">
            <wp:extent cx="5267960" cy="1216660"/>
            <wp:effectExtent l="0" t="0" r="8890" b="2540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780A6">
      <w:pPr>
        <w:widowControl w:val="0"/>
        <w:numPr>
          <w:ilvl w:val="0"/>
          <w:numId w:val="0"/>
        </w:numPr>
        <w:ind w:leftChars="0"/>
        <w:jc w:val="left"/>
        <w:outlineLvl w:val="9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当</w:t>
      </w:r>
      <w:r>
        <w:rPr>
          <w:rFonts w:hint="eastAsia"/>
          <w:color w:val="FF0000"/>
          <w:lang w:val="en-US" w:eastAsia="zh-CN"/>
        </w:rPr>
        <w:t>不同意</w:t>
      </w:r>
      <w:r>
        <w:rPr>
          <w:rFonts w:hint="eastAsia"/>
          <w:color w:val="auto"/>
          <w:lang w:val="en-US" w:eastAsia="zh-CN"/>
        </w:rPr>
        <w:t>自动支付且钱包余额</w:t>
      </w:r>
      <w:r>
        <w:rPr>
          <w:rFonts w:hint="eastAsia"/>
          <w:color w:val="FF0000"/>
          <w:lang w:val="en-US" w:eastAsia="zh-CN"/>
        </w:rPr>
        <w:t>不足</w:t>
      </w:r>
      <w:r>
        <w:rPr>
          <w:rFonts w:hint="eastAsia"/>
          <w:color w:val="auto"/>
          <w:lang w:val="en-US" w:eastAsia="zh-CN"/>
        </w:rPr>
        <w:t>时，系统将提示用户进行钱包充值缴纳并自行支付费用</w:t>
      </w:r>
      <w:r>
        <w:drawing>
          <wp:inline distT="0" distB="0" distL="114300" distR="114300">
            <wp:extent cx="5271770" cy="1209040"/>
            <wp:effectExtent l="0" t="0" r="5080" b="10160"/>
            <wp:docPr id="4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A3363">
      <w:pPr>
        <w:widowControl w:val="0"/>
        <w:numPr>
          <w:ilvl w:val="0"/>
          <w:numId w:val="0"/>
        </w:numPr>
        <w:ind w:leftChars="0"/>
        <w:jc w:val="left"/>
        <w:outlineLvl w:val="9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当</w:t>
      </w:r>
      <w:r>
        <w:rPr>
          <w:rFonts w:hint="eastAsia"/>
          <w:color w:val="FF0000"/>
          <w:lang w:val="en-US" w:eastAsia="zh-CN"/>
        </w:rPr>
        <w:t>不同意</w:t>
      </w:r>
      <w:r>
        <w:rPr>
          <w:rFonts w:hint="eastAsia"/>
          <w:color w:val="auto"/>
          <w:lang w:val="en-US" w:eastAsia="zh-CN"/>
        </w:rPr>
        <w:t>自动支付且钱包余额</w:t>
      </w:r>
      <w:r>
        <w:rPr>
          <w:rFonts w:hint="eastAsia"/>
          <w:color w:val="FF0000"/>
          <w:lang w:val="en-US" w:eastAsia="zh-CN"/>
        </w:rPr>
        <w:t>充足</w:t>
      </w:r>
      <w:r>
        <w:rPr>
          <w:rFonts w:hint="eastAsia"/>
          <w:color w:val="auto"/>
          <w:lang w:val="en-US" w:eastAsia="zh-CN"/>
        </w:rPr>
        <w:t>时，系统将提示用户自行缴纳费用</w:t>
      </w:r>
      <w:r>
        <w:drawing>
          <wp:inline distT="0" distB="0" distL="114300" distR="114300">
            <wp:extent cx="5270500" cy="1216660"/>
            <wp:effectExtent l="0" t="0" r="6350" b="2540"/>
            <wp:docPr id="4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24B5B">
      <w:pPr>
        <w:pStyle w:val="3"/>
        <w:numPr>
          <w:ilvl w:val="0"/>
          <w:numId w:val="5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项目报名（专厅项目）</w:t>
      </w:r>
    </w:p>
    <w:p w14:paraId="33363F58">
      <w:pPr>
        <w:rPr>
          <w:rFonts w:hint="default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专厅项目</w:t>
      </w:r>
      <w:r>
        <w:rPr>
          <w:rFonts w:hint="eastAsia" w:ascii="宋体" w:hAnsi="宋体" w:cs="宋体"/>
          <w:color w:val="FF0000"/>
          <w:kern w:val="0"/>
          <w:sz w:val="24"/>
          <w:szCs w:val="24"/>
        </w:rPr>
        <w:t>是根据专厅进行报名，一次报名会对专厅下所有的标的进行报名</w:t>
      </w:r>
    </w:p>
    <w:p w14:paraId="79F33ABB">
      <w:pPr>
        <w:numPr>
          <w:ilvl w:val="0"/>
          <w:numId w:val="7"/>
        </w:numPr>
        <w:outlineLvl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在同意报名须知之后，请会员仔细核对报名基本信息。</w:t>
      </w:r>
    </w:p>
    <w:p w14:paraId="1F79013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2734310"/>
            <wp:effectExtent l="0" t="0" r="8890" b="8890"/>
            <wp:docPr id="51" name="图片 51" descr="$XH)R%_2RF8D`PP[V~L19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$XH)R%_2RF8D`PP[V~L19HO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81029">
      <w:pPr>
        <w:widowControl w:val="0"/>
        <w:numPr>
          <w:ilvl w:val="0"/>
          <w:numId w:val="8"/>
        </w:numPr>
        <w:ind w:left="0" w:leftChars="0" w:firstLine="0" w:firstLineChars="0"/>
        <w:jc w:val="left"/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信息核对无误之后，点击【立即报名】</w:t>
      </w:r>
    </w:p>
    <w:p w14:paraId="5B4F56CF">
      <w:pPr>
        <w:widowControl w:val="0"/>
        <w:numPr>
          <w:ilvl w:val="0"/>
          <w:numId w:val="0"/>
        </w:numPr>
        <w:ind w:leftChars="0"/>
        <w:jc w:val="left"/>
        <w:outlineLvl w:val="9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专厅项目需手动缴纳保证金</w:t>
      </w:r>
      <w:r>
        <w:rPr>
          <w:rFonts w:hint="default"/>
          <w:lang w:val="en-US" w:eastAsia="zh-CN"/>
        </w:rPr>
        <w:drawing>
          <wp:inline distT="0" distB="0" distL="114300" distR="114300">
            <wp:extent cx="5270500" cy="1227455"/>
            <wp:effectExtent l="0" t="0" r="6350" b="10795"/>
            <wp:docPr id="52" name="图片 52" descr="R$}5{C%)TK32$%`K~ST@8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R$}5{C%)TK32$%`K~ST@8OM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5095E">
      <w:pPr>
        <w:rPr>
          <w:rFonts w:hint="eastAsia"/>
          <w:lang w:val="en-US" w:eastAsia="zh-CN"/>
        </w:rPr>
      </w:pPr>
    </w:p>
    <w:p w14:paraId="41855A5C">
      <w:pPr>
        <w:pStyle w:val="2"/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意向方费用缴纳</w:t>
      </w:r>
    </w:p>
    <w:p w14:paraId="0B75A162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1、普通项目报名保证金缴纳</w:t>
      </w:r>
    </w:p>
    <w:p w14:paraId="11CE36A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普通项目用户报名成功并且审核通过后，可进入【费用缴纳】菜单或【工作台】菜单查看费用缴纳详情。</w:t>
      </w:r>
    </w:p>
    <w:p w14:paraId="59F9B02F">
      <w:r>
        <w:drawing>
          <wp:inline distT="0" distB="0" distL="114300" distR="114300">
            <wp:extent cx="5270500" cy="2273300"/>
            <wp:effectExtent l="0" t="0" r="6350" b="12700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BFEC6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菜单：工作台</w:t>
      </w:r>
    </w:p>
    <w:p w14:paraId="2959529D">
      <w:pPr>
        <w:jc w:val="center"/>
        <w:rPr>
          <w:rFonts w:hint="eastAsia"/>
          <w:lang w:val="en-US" w:eastAsia="zh-CN"/>
        </w:rPr>
      </w:pPr>
    </w:p>
    <w:p w14:paraId="10BE73E1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31720"/>
            <wp:effectExtent l="0" t="0" r="10160" b="11430"/>
            <wp:docPr id="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3AA5B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菜单：费用缴纳</w:t>
      </w:r>
    </w:p>
    <w:p w14:paraId="3BD57D12">
      <w:pPr>
        <w:pStyle w:val="3"/>
        <w:numPr>
          <w:ilvl w:val="0"/>
          <w:numId w:val="9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收银台缴费</w:t>
      </w:r>
    </w:p>
    <w:p w14:paraId="653BF7BB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用户点击缴纳之后，将跳转至收银台界面。【余额冻结】即为缴纳金额。</w:t>
      </w:r>
    </w:p>
    <w:p w14:paraId="35B34509">
      <w:r>
        <w:drawing>
          <wp:inline distT="0" distB="0" distL="114300" distR="114300">
            <wp:extent cx="5271770" cy="3292475"/>
            <wp:effectExtent l="0" t="0" r="5080" b="3175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CF0A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点击【确认冻结】之后，系统将确认钱包金额是否足额并完成支付。请耐心等待银行处理。</w:t>
      </w:r>
    </w:p>
    <w:p w14:paraId="50E3F77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067300" cy="3533775"/>
            <wp:effectExtent l="0" t="0" r="0" b="9525"/>
            <wp:docPr id="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E3F28">
      <w:pPr>
        <w:pStyle w:val="3"/>
        <w:numPr>
          <w:ilvl w:val="0"/>
          <w:numId w:val="9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代付</w:t>
      </w:r>
    </w:p>
    <w:p w14:paraId="6CEF8BD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点击【申请代付】，可以邀请他人帮忙付款。</w:t>
      </w:r>
    </w:p>
    <w:p w14:paraId="6B06AE88">
      <w:r>
        <w:drawing>
          <wp:inline distT="0" distB="0" distL="114300" distR="114300">
            <wp:extent cx="5270500" cy="2599690"/>
            <wp:effectExtent l="0" t="0" r="6350" b="10160"/>
            <wp:docPr id="3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4C70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选择帮忙代付的本系统已实名认证的用户，并提交申请。</w:t>
      </w:r>
    </w:p>
    <w:p w14:paraId="6A154414"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注意：选择代付人需要同时输入正确的用户名称与证件号，才能找到代付人</w:t>
      </w:r>
    </w:p>
    <w:p w14:paraId="1FC5CE70">
      <w:r>
        <w:drawing>
          <wp:inline distT="0" distB="0" distL="114300" distR="114300">
            <wp:extent cx="5269230" cy="3496945"/>
            <wp:effectExtent l="0" t="0" r="7620" b="8255"/>
            <wp:docPr id="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5ADD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代付人将在【代付资金订单】中看到用户的申请，并为用户代付这笔款项</w:t>
      </w:r>
    </w:p>
    <w:p w14:paraId="52C2F6CB">
      <w:r>
        <w:drawing>
          <wp:inline distT="0" distB="0" distL="114300" distR="114300">
            <wp:extent cx="5262245" cy="1713230"/>
            <wp:effectExtent l="0" t="0" r="14605" b="1270"/>
            <wp:docPr id="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31C9C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如果代付人成功缴纳费用，用户的此项目代付费用状态将显示为</w:t>
      </w:r>
      <w:r>
        <w:rPr>
          <w:rFonts w:hint="eastAsia"/>
          <w:color w:val="FF0000"/>
          <w:lang w:val="en-US" w:eastAsia="zh-CN"/>
        </w:rPr>
        <w:t>代付</w:t>
      </w:r>
    </w:p>
    <w:p w14:paraId="60CB449C">
      <w:r>
        <w:drawing>
          <wp:inline distT="0" distB="0" distL="114300" distR="114300">
            <wp:extent cx="5267960" cy="1146810"/>
            <wp:effectExtent l="0" t="0" r="8890" b="15240"/>
            <wp:docPr id="4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403AF">
      <w:pPr>
        <w:pStyle w:val="3"/>
        <w:numPr>
          <w:ilvl w:val="0"/>
          <w:numId w:val="9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专厅项目报名保证金缴纳</w:t>
      </w:r>
    </w:p>
    <w:p w14:paraId="1609763A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专厅项目用户报名成功并且审核通过后，可以多次支付保证金参与专厅多标的项目，缴纳一次保证金仅能参与一次标的。</w:t>
      </w:r>
    </w:p>
    <w:p w14:paraId="11B4DA8A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当专厅项目请求代付后，该项目多次缴纳的保证金将都由代付人缴纳。</w:t>
      </w:r>
    </w:p>
    <w:p w14:paraId="43D1305D">
      <w:pPr>
        <w:bidi w:val="0"/>
      </w:pPr>
      <w:r>
        <w:drawing>
          <wp:inline distT="0" distB="0" distL="114300" distR="114300">
            <wp:extent cx="5270500" cy="2259965"/>
            <wp:effectExtent l="0" t="0" r="6350" b="6985"/>
            <wp:docPr id="5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5FFB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当用户个人第一次缴纳专厅保证金之后，本项目后续保证金将不允许代付。</w:t>
      </w:r>
    </w:p>
    <w:p w14:paraId="78C586C2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989965"/>
            <wp:effectExtent l="0" t="0" r="3810" b="635"/>
            <wp:docPr id="5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AAF38">
      <w:pPr>
        <w:outlineLvl w:val="9"/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default"/>
          <w:b/>
          <w:bCs/>
          <w:color w:val="FF0000"/>
          <w:sz w:val="28"/>
          <w:szCs w:val="28"/>
          <w:lang w:val="en-US" w:eastAsia="zh-CN"/>
        </w:rPr>
        <w:t>保证金的缴纳有截止时间要求，过了保证金缴纳截止时间则无法缴纳</w:t>
      </w:r>
    </w:p>
    <w:p w14:paraId="263F088D">
      <w:pPr>
        <w:pStyle w:val="3"/>
        <w:numPr>
          <w:ilvl w:val="0"/>
          <w:numId w:val="9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成交款/服务费/专家费</w:t>
      </w:r>
    </w:p>
    <w:p w14:paraId="5C2E2A4F"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5274310" cy="2413000"/>
            <wp:effectExtent l="0" t="0" r="2540" b="6350"/>
            <wp:docPr id="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1E7E5"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当项目成交结果审核通过之后，中标竞买人需要缴纳标的成交的成交款以及代理服务费。</w:t>
      </w:r>
    </w:p>
    <w:p w14:paraId="64F98EFB"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如若为综合评审项目，需要额外缴纳评审专家费。</w:t>
      </w:r>
    </w:p>
    <w:p w14:paraId="38DE0721"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缴费步骤参考报名保证金缴纳流程。</w:t>
      </w:r>
    </w:p>
    <w:p w14:paraId="600EA19F">
      <w:pPr>
        <w:pStyle w:val="2"/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意向方竞价报价</w:t>
      </w:r>
    </w:p>
    <w:p w14:paraId="785F693A">
      <w:pPr>
        <w:pStyle w:val="3"/>
        <w:numPr>
          <w:ilvl w:val="0"/>
          <w:numId w:val="10"/>
        </w:numPr>
        <w:bidi w:val="0"/>
        <w:rPr>
          <w:rFonts w:hint="default"/>
          <w:lang w:val="en-US" w:eastAsia="zh-CN"/>
        </w:rPr>
      </w:pPr>
      <w:bookmarkStart w:id="4" w:name="_GoBack"/>
      <w:bookmarkEnd w:id="4"/>
      <w:r>
        <w:rPr>
          <w:rFonts w:hint="eastAsia"/>
          <w:lang w:val="en-US" w:eastAsia="zh-CN"/>
        </w:rPr>
        <w:t>普通项目竞价</w:t>
      </w:r>
    </w:p>
    <w:p w14:paraId="19D3CBF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点击【我的项目】的项目【报价】端口。进入竞价平台</w:t>
      </w:r>
    </w:p>
    <w:p w14:paraId="6E849305">
      <w:r>
        <w:drawing>
          <wp:inline distT="0" distB="0" distL="114300" distR="114300">
            <wp:extent cx="5262245" cy="2359025"/>
            <wp:effectExtent l="0" t="0" r="14605" b="3175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AEFA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在竞价平台中，可以进行快速竞价，快速竞价的加价金额为竞价阶梯的1倍，也可点击项目后的“进入”按钮，进入竞价室</w:t>
      </w:r>
    </w:p>
    <w:p w14:paraId="655E550F">
      <w:r>
        <w:drawing>
          <wp:inline distT="0" distB="0" distL="114300" distR="114300">
            <wp:extent cx="4591685" cy="1991360"/>
            <wp:effectExtent l="0" t="0" r="18415" b="8890"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4CA5B">
      <w:p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竞价室中可以查看到标的信息，“竞价阶梯倍数”，“当前标的竞价剩余的时间”，“当前最高报价”与“我的报价”，若暂未进行报价，则“我的报价”位置为空，进行报价后，“我的报价”中会显示出发送的报价，若出价为最高报价，界面中会显示当前最高报价，并提示“您是当前最优价格”，若不是最高价，界面中会显示“您当前不是最优价格”。</w:t>
      </w:r>
    </w:p>
    <w:p w14:paraId="3B7EAD62">
      <w:r>
        <w:drawing>
          <wp:inline distT="0" distB="0" distL="114300" distR="114300">
            <wp:extent cx="5268595" cy="3652520"/>
            <wp:effectExtent l="0" t="0" r="8255" b="5080"/>
            <wp:docPr id="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5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580A6"/>
    <w:p w14:paraId="01CB9822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报价前需现行选择竞价阶梯倍数，</w:t>
      </w:r>
    </w:p>
    <w:p w14:paraId="28B5DAB6">
      <w:r>
        <w:drawing>
          <wp:inline distT="0" distB="0" distL="114300" distR="114300">
            <wp:extent cx="5269865" cy="3660775"/>
            <wp:effectExtent l="0" t="0" r="6985" b="15875"/>
            <wp:docPr id="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6BE9F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确定竞价阶梯倍数后点击“发送报价”按钮</w:t>
      </w:r>
    </w:p>
    <w:p w14:paraId="282EBF99">
      <w:r>
        <w:drawing>
          <wp:inline distT="0" distB="0" distL="114300" distR="114300">
            <wp:extent cx="5271135" cy="3631565"/>
            <wp:effectExtent l="0" t="0" r="5715" b="6985"/>
            <wp:docPr id="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B7AF7"/>
    <w:p w14:paraId="08F03E1A">
      <w:pPr>
        <w:bidi w:val="0"/>
      </w:pPr>
      <w:r>
        <w:rPr>
          <w:rFonts w:hint="eastAsia"/>
          <w:lang w:val="en-US" w:eastAsia="zh-CN"/>
        </w:rPr>
        <w:t>系统会弹出提示，在提示中会显示出将要发送的价格，若确认无误可点击“确定报价”，若有误可点击取消，重新选择倍数后重新发送报价进行确认。</w:t>
      </w:r>
    </w:p>
    <w:p w14:paraId="33B10685">
      <w:r>
        <w:drawing>
          <wp:inline distT="0" distB="0" distL="114300" distR="114300">
            <wp:extent cx="5273040" cy="3669665"/>
            <wp:effectExtent l="0" t="0" r="3810" b="6985"/>
            <wp:docPr id="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3FDC6"/>
    <w:p w14:paraId="0D05A7F1"/>
    <w:p w14:paraId="51D14423">
      <w:pPr>
        <w:bidi w:val="0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报价成功后系统中会显示出“报价成功！报价为：XXX”，并显示在“我的报价”中。</w:t>
      </w:r>
    </w:p>
    <w:p w14:paraId="79B2033A">
      <w:r>
        <w:drawing>
          <wp:inline distT="0" distB="0" distL="114300" distR="114300">
            <wp:extent cx="5269865" cy="3647440"/>
            <wp:effectExtent l="0" t="0" r="6985" b="10160"/>
            <wp:docPr id="6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02016"/>
    <w:p w14:paraId="2256C3C2">
      <w:pPr>
        <w:bidi w:val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注意：若竞价过程中出现问题请立即进行紧急求助，点击紧急求助即可获取紧急求助电话。</w:t>
      </w:r>
    </w:p>
    <w:p w14:paraId="3FE4D568"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4785" cy="3653155"/>
            <wp:effectExtent l="0" t="0" r="12065" b="4445"/>
            <wp:docPr id="6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B851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36AC8754">
      <w:pPr>
        <w:numPr>
          <w:ilvl w:val="0"/>
          <w:numId w:val="11"/>
        </w:numPr>
        <w:outlineLvl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加价/减价（</w:t>
      </w:r>
      <w:r>
        <w:rPr>
          <w:rFonts w:hint="eastAsia"/>
          <w:color w:val="FF0000"/>
          <w:lang w:val="en-US" w:eastAsia="zh-CN"/>
        </w:rPr>
        <w:t>无行权</w:t>
      </w:r>
      <w:r>
        <w:rPr>
          <w:rFonts w:hint="eastAsia"/>
          <w:lang w:val="en-US" w:eastAsia="zh-CN"/>
        </w:rPr>
        <w:t>）</w:t>
      </w:r>
    </w:p>
    <w:p w14:paraId="3C9AA319">
      <w:pPr>
        <w:numPr>
          <w:ilvl w:val="0"/>
          <w:numId w:val="0"/>
        </w:numPr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无优先权的多轮次项目，支持竞买人按阶梯价格持续竞价。如果竞价截止时间结束，仍有竞买人持续竞价，将进入机构设置的延时竞价环节。延时竞价环节仍可报价，有最新报价将刷新延时报价持续时间。直至无人报价且延时时间结束，竞价会才视为结束。</w:t>
      </w:r>
    </w:p>
    <w:p w14:paraId="16E7BE4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3648710"/>
            <wp:effectExtent l="0" t="0" r="2540" b="889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4CB1E">
      <w:pPr>
        <w:numPr>
          <w:ilvl w:val="0"/>
          <w:numId w:val="11"/>
        </w:numPr>
        <w:outlineLvl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加价/减价（</w:t>
      </w:r>
      <w:r>
        <w:rPr>
          <w:rFonts w:hint="eastAsia"/>
          <w:color w:val="FF0000"/>
          <w:lang w:val="en-US" w:eastAsia="zh-CN"/>
        </w:rPr>
        <w:t>事中行权</w:t>
      </w:r>
      <w:r>
        <w:rPr>
          <w:rFonts w:hint="eastAsia"/>
          <w:lang w:val="en-US" w:eastAsia="zh-CN"/>
        </w:rPr>
        <w:t>）</w:t>
      </w:r>
    </w:p>
    <w:p w14:paraId="547D6EA6"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当拥有事中行权的竞买人出价金额与多位竞买人的出价金额一致时，优先权等级高的竞买人优先竟得标的。</w:t>
      </w:r>
      <w:r>
        <w:drawing>
          <wp:inline distT="0" distB="0" distL="114300" distR="114300">
            <wp:extent cx="5264150" cy="3549015"/>
            <wp:effectExtent l="0" t="0" r="0" b="0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58"/>
                    <a:srcRect r="108" b="715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4A7B7">
      <w:pPr>
        <w:numPr>
          <w:ilvl w:val="0"/>
          <w:numId w:val="11"/>
        </w:numPr>
        <w:outlineLvl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加价/减价（</w:t>
      </w:r>
      <w:r>
        <w:rPr>
          <w:rFonts w:hint="eastAsia"/>
          <w:color w:val="FF0000"/>
          <w:lang w:val="en-US" w:eastAsia="zh-CN"/>
        </w:rPr>
        <w:t>事后行权</w:t>
      </w:r>
      <w:r>
        <w:rPr>
          <w:rFonts w:hint="eastAsia"/>
          <w:lang w:val="en-US" w:eastAsia="zh-CN"/>
        </w:rPr>
        <w:t>）</w:t>
      </w:r>
    </w:p>
    <w:p w14:paraId="65659F9C"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在竞价会时间之内，有事后行权得竞买人无法出价。当延时报价结束，事后行权的竞买人可以行使优先权，进行报价。</w:t>
      </w:r>
    </w:p>
    <w:p w14:paraId="599C5337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3531870"/>
            <wp:effectExtent l="0" t="0" r="11430" b="1143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907A0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3840480"/>
            <wp:effectExtent l="0" t="0" r="11430" b="7620"/>
            <wp:docPr id="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F0CED">
      <w:pPr>
        <w:numPr>
          <w:ilvl w:val="0"/>
          <w:numId w:val="11"/>
        </w:numPr>
        <w:outlineLvl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一次性报价(</w:t>
      </w:r>
      <w:r>
        <w:rPr>
          <w:rFonts w:hint="eastAsia"/>
          <w:color w:val="FF0000"/>
          <w:lang w:val="en-US" w:eastAsia="zh-CN"/>
        </w:rPr>
        <w:t>无行权</w:t>
      </w:r>
      <w:r>
        <w:rPr>
          <w:rFonts w:hint="eastAsia"/>
          <w:lang w:val="en-US" w:eastAsia="zh-CN"/>
        </w:rPr>
        <w:t>)</w:t>
      </w:r>
    </w:p>
    <w:p w14:paraId="7A0AEAC7"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竞买人在规定时间内对项目一次或多次报价，系统以竞价人最后一次报价为准</w:t>
      </w:r>
    </w:p>
    <w:p w14:paraId="02C4DA3B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860800"/>
            <wp:effectExtent l="0" t="0" r="4445" b="6350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1D7BD">
      <w:pPr>
        <w:numPr>
          <w:ilvl w:val="0"/>
          <w:numId w:val="11"/>
        </w:numPr>
        <w:outlineLvl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一次性报价(</w:t>
      </w:r>
      <w:r>
        <w:rPr>
          <w:rFonts w:hint="eastAsia"/>
          <w:color w:val="FF0000"/>
          <w:lang w:val="en-US" w:eastAsia="zh-CN"/>
        </w:rPr>
        <w:t>事后行权</w:t>
      </w:r>
      <w:r>
        <w:rPr>
          <w:rFonts w:hint="eastAsia"/>
          <w:lang w:val="en-US" w:eastAsia="zh-CN"/>
        </w:rPr>
        <w:t>)</w:t>
      </w:r>
    </w:p>
    <w:p w14:paraId="26C2411F">
      <w:pPr>
        <w:numPr>
          <w:ilvl w:val="0"/>
          <w:numId w:val="0"/>
        </w:numPr>
        <w:jc w:val="left"/>
      </w:pPr>
      <w:r>
        <w:rPr>
          <w:rFonts w:hint="eastAsia"/>
          <w:lang w:val="en-US" w:eastAsia="zh-CN"/>
        </w:rPr>
        <w:t>在竞价会时间之内，有事后行权得竞买人无法出价。当延时报价结束，事后行权的竞买人可以行使优先权，进行报价。</w:t>
      </w:r>
      <w:r>
        <w:drawing>
          <wp:inline distT="0" distB="0" distL="114300" distR="114300">
            <wp:extent cx="5265420" cy="3847465"/>
            <wp:effectExtent l="0" t="0" r="11430" b="63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AFD4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3840480"/>
            <wp:effectExtent l="0" t="0" r="11430" b="7620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04344">
      <w:pPr>
        <w:pStyle w:val="3"/>
        <w:numPr>
          <w:ilvl w:val="0"/>
          <w:numId w:val="10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专厅项目竞价</w:t>
      </w:r>
    </w:p>
    <w:p w14:paraId="15039A6B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通过专厅项目报价入口进入竞价系统。</w:t>
      </w:r>
    </w:p>
    <w:p w14:paraId="5FF5F772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1272540"/>
            <wp:effectExtent l="0" t="0" r="7620" b="3810"/>
            <wp:docPr id="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2B66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专厅项目有多个标的，缴纳一次保证金，可以浏览多个标的，并选择一个标的进入竞价。竞价结束之后，参与其他专厅标的需要再次缴纳保证金。</w:t>
      </w:r>
    </w:p>
    <w:p w14:paraId="4345A2E9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竞价模式参考普通项目竞价。</w:t>
      </w:r>
    </w:p>
    <w:p w14:paraId="2F41C3C4">
      <w:pPr>
        <w:pStyle w:val="2"/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综合评审</w:t>
      </w:r>
    </w:p>
    <w:p w14:paraId="5015F66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在文件递交截止时间之前，点击“上传文件”按钮，上传文件。</w:t>
      </w:r>
    </w:p>
    <w:p w14:paraId="6705959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*文件格式为PDF</w:t>
      </w:r>
    </w:p>
    <w:p w14:paraId="2F3FB8B8">
      <w:r>
        <w:drawing>
          <wp:inline distT="0" distB="0" distL="114300" distR="114300">
            <wp:extent cx="5258435" cy="2607310"/>
            <wp:effectExtent l="0" t="0" r="1841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E94BF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页面显示“上传成功”，则代表上传成功。</w:t>
      </w:r>
    </w:p>
    <w:p w14:paraId="4C83E2E8">
      <w:r>
        <w:drawing>
          <wp:inline distT="0" distB="0" distL="114300" distR="114300">
            <wp:extent cx="5234940" cy="2256155"/>
            <wp:effectExtent l="0" t="0" r="7620" b="14605"/>
            <wp:docPr id="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"/>
                    <pic:cNvPicPr>
                      <a:picLocks noChangeAspect="1"/>
                    </pic:cNvPicPr>
                  </pic:nvPicPr>
                  <pic:blipFill>
                    <a:blip r:embed="rId65"/>
                    <a:srcRect l="627" t="5480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8862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若需修改上传文件，可点击“撤回”按钮，重新上传</w:t>
      </w:r>
    </w:p>
    <w:p w14:paraId="4326B06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*注意：必须在文件递交截止时间之前，点击“上传文件”按钮，上传文件。</w:t>
      </w:r>
      <w:r>
        <w:rPr>
          <w:rFonts w:hint="eastAsia"/>
          <w:lang w:val="en-US" w:eastAsia="zh-CN"/>
        </w:rPr>
        <w:br w:type="textWrapping"/>
      </w:r>
    </w:p>
    <w:p w14:paraId="72319AA8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4785" cy="2644775"/>
            <wp:effectExtent l="0" t="0" r="12065" b="3175"/>
            <wp:docPr id="6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" descr="IMG_25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4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93B7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AA06F47">
      <w:pPr>
        <w:pStyle w:val="2"/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5D8CF5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6FCAE4">
    <w:pPr>
      <w:pStyle w:val="7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2E28C0"/>
    <w:multiLevelType w:val="singleLevel"/>
    <w:tmpl w:val="852E28C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C88AA51"/>
    <w:multiLevelType w:val="singleLevel"/>
    <w:tmpl w:val="9C88AA51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DE2BB56C"/>
    <w:multiLevelType w:val="singleLevel"/>
    <w:tmpl w:val="DE2BB56C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EE39A116"/>
    <w:multiLevelType w:val="singleLevel"/>
    <w:tmpl w:val="EE39A116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0FD4E488"/>
    <w:multiLevelType w:val="singleLevel"/>
    <w:tmpl w:val="0FD4E488"/>
    <w:lvl w:ilvl="0" w:tentative="0">
      <w:start w:val="2"/>
      <w:numFmt w:val="decimal"/>
      <w:suff w:val="nothing"/>
      <w:lvlText w:val="%1、"/>
      <w:lvlJc w:val="left"/>
    </w:lvl>
  </w:abstractNum>
  <w:abstractNum w:abstractNumId="5">
    <w:nsid w:val="30A99A44"/>
    <w:multiLevelType w:val="singleLevel"/>
    <w:tmpl w:val="30A99A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411F4920"/>
    <w:multiLevelType w:val="singleLevel"/>
    <w:tmpl w:val="411F4920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48E74079"/>
    <w:multiLevelType w:val="singleLevel"/>
    <w:tmpl w:val="48E74079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8">
    <w:nsid w:val="642DCF7D"/>
    <w:multiLevelType w:val="singleLevel"/>
    <w:tmpl w:val="642DCF7D"/>
    <w:lvl w:ilvl="0" w:tentative="0">
      <w:start w:val="2"/>
      <w:numFmt w:val="decimal"/>
      <w:suff w:val="nothing"/>
      <w:lvlText w:val="%1、"/>
      <w:lvlJc w:val="left"/>
    </w:lvl>
  </w:abstractNum>
  <w:abstractNum w:abstractNumId="9">
    <w:nsid w:val="68E401FF"/>
    <w:multiLevelType w:val="singleLevel"/>
    <w:tmpl w:val="68E401FF"/>
    <w:lvl w:ilvl="0" w:tentative="0">
      <w:start w:val="2"/>
      <w:numFmt w:val="decimal"/>
      <w:suff w:val="nothing"/>
      <w:lvlText w:val="（%1）"/>
      <w:lvlJc w:val="left"/>
    </w:lvl>
  </w:abstractNum>
  <w:abstractNum w:abstractNumId="10">
    <w:nsid w:val="7E9B0DAE"/>
    <w:multiLevelType w:val="singleLevel"/>
    <w:tmpl w:val="7E9B0DA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6"/>
  </w:num>
  <w:num w:numId="8">
    <w:abstractNumId w:val="9"/>
  </w:num>
  <w:num w:numId="9">
    <w:abstractNumId w:val="8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NhMWUwMDlhNjI3ZjJhMTcyOGJjNDE0NWZmYjExNGUifQ=="/>
  </w:docVars>
  <w:rsids>
    <w:rsidRoot w:val="00D2287D"/>
    <w:rsid w:val="0002641A"/>
    <w:rsid w:val="00046D5E"/>
    <w:rsid w:val="00091E54"/>
    <w:rsid w:val="000A24E8"/>
    <w:rsid w:val="00111B9B"/>
    <w:rsid w:val="00146A64"/>
    <w:rsid w:val="00151201"/>
    <w:rsid w:val="001573C7"/>
    <w:rsid w:val="001822A4"/>
    <w:rsid w:val="001835BD"/>
    <w:rsid w:val="00187B2A"/>
    <w:rsid w:val="001E2EC3"/>
    <w:rsid w:val="001F0120"/>
    <w:rsid w:val="00207E39"/>
    <w:rsid w:val="00233B85"/>
    <w:rsid w:val="00246088"/>
    <w:rsid w:val="0025555A"/>
    <w:rsid w:val="00260621"/>
    <w:rsid w:val="00275648"/>
    <w:rsid w:val="00291C58"/>
    <w:rsid w:val="002973CA"/>
    <w:rsid w:val="002D7D51"/>
    <w:rsid w:val="002E34C2"/>
    <w:rsid w:val="002F2968"/>
    <w:rsid w:val="003034DA"/>
    <w:rsid w:val="00304AEC"/>
    <w:rsid w:val="00322FA2"/>
    <w:rsid w:val="00337208"/>
    <w:rsid w:val="003906FF"/>
    <w:rsid w:val="00392CB2"/>
    <w:rsid w:val="003B3E48"/>
    <w:rsid w:val="003F60B8"/>
    <w:rsid w:val="00457455"/>
    <w:rsid w:val="004624C4"/>
    <w:rsid w:val="004A44DC"/>
    <w:rsid w:val="004F137C"/>
    <w:rsid w:val="005963BD"/>
    <w:rsid w:val="005B365F"/>
    <w:rsid w:val="005B52F6"/>
    <w:rsid w:val="00632EF1"/>
    <w:rsid w:val="006C39EF"/>
    <w:rsid w:val="006C7A08"/>
    <w:rsid w:val="00713FF3"/>
    <w:rsid w:val="00727369"/>
    <w:rsid w:val="00742953"/>
    <w:rsid w:val="007439BB"/>
    <w:rsid w:val="007B149F"/>
    <w:rsid w:val="007D4F28"/>
    <w:rsid w:val="007E1EF3"/>
    <w:rsid w:val="008126CC"/>
    <w:rsid w:val="00822241"/>
    <w:rsid w:val="00826408"/>
    <w:rsid w:val="009759B3"/>
    <w:rsid w:val="00977073"/>
    <w:rsid w:val="009A585C"/>
    <w:rsid w:val="009B768A"/>
    <w:rsid w:val="009C5811"/>
    <w:rsid w:val="00A37E88"/>
    <w:rsid w:val="00A71126"/>
    <w:rsid w:val="00A95A93"/>
    <w:rsid w:val="00AA1B8E"/>
    <w:rsid w:val="00AB4BD8"/>
    <w:rsid w:val="00B05A06"/>
    <w:rsid w:val="00B1666E"/>
    <w:rsid w:val="00B26E22"/>
    <w:rsid w:val="00B3268D"/>
    <w:rsid w:val="00BE6762"/>
    <w:rsid w:val="00BF0118"/>
    <w:rsid w:val="00BF3489"/>
    <w:rsid w:val="00C53D48"/>
    <w:rsid w:val="00C6249B"/>
    <w:rsid w:val="00C70FBD"/>
    <w:rsid w:val="00C81C4C"/>
    <w:rsid w:val="00CA4CF0"/>
    <w:rsid w:val="00CF5500"/>
    <w:rsid w:val="00D2287D"/>
    <w:rsid w:val="00DC204C"/>
    <w:rsid w:val="00E14637"/>
    <w:rsid w:val="00E21183"/>
    <w:rsid w:val="00E22813"/>
    <w:rsid w:val="00E31D51"/>
    <w:rsid w:val="00E601F3"/>
    <w:rsid w:val="00F32A3A"/>
    <w:rsid w:val="00F412DD"/>
    <w:rsid w:val="00F64B39"/>
    <w:rsid w:val="00F654AA"/>
    <w:rsid w:val="00FA1905"/>
    <w:rsid w:val="00FB437A"/>
    <w:rsid w:val="00FF6DDF"/>
    <w:rsid w:val="01305BC2"/>
    <w:rsid w:val="01DD59FB"/>
    <w:rsid w:val="04333FF8"/>
    <w:rsid w:val="049747E0"/>
    <w:rsid w:val="057D6F2B"/>
    <w:rsid w:val="06280279"/>
    <w:rsid w:val="077C7570"/>
    <w:rsid w:val="09420839"/>
    <w:rsid w:val="09C37BCC"/>
    <w:rsid w:val="0AF50259"/>
    <w:rsid w:val="0B646908"/>
    <w:rsid w:val="0BA13F3D"/>
    <w:rsid w:val="0BC1638D"/>
    <w:rsid w:val="0EDE2DB2"/>
    <w:rsid w:val="106B68C8"/>
    <w:rsid w:val="10E36CBF"/>
    <w:rsid w:val="10E8616A"/>
    <w:rsid w:val="114C494B"/>
    <w:rsid w:val="11943BFC"/>
    <w:rsid w:val="12F901BB"/>
    <w:rsid w:val="134C0C32"/>
    <w:rsid w:val="144D6A10"/>
    <w:rsid w:val="14EF5D19"/>
    <w:rsid w:val="17546308"/>
    <w:rsid w:val="17A76437"/>
    <w:rsid w:val="17F350B9"/>
    <w:rsid w:val="1876405C"/>
    <w:rsid w:val="19A370D2"/>
    <w:rsid w:val="19D159ED"/>
    <w:rsid w:val="1AE31E7C"/>
    <w:rsid w:val="1C453428"/>
    <w:rsid w:val="1CA7127C"/>
    <w:rsid w:val="1CE2252B"/>
    <w:rsid w:val="1DA04055"/>
    <w:rsid w:val="1F1B4407"/>
    <w:rsid w:val="1F4849A4"/>
    <w:rsid w:val="1FD04999"/>
    <w:rsid w:val="20C938C2"/>
    <w:rsid w:val="21C85928"/>
    <w:rsid w:val="21DA565B"/>
    <w:rsid w:val="24D67678"/>
    <w:rsid w:val="25537BFE"/>
    <w:rsid w:val="25DC5E46"/>
    <w:rsid w:val="26025181"/>
    <w:rsid w:val="26451C3D"/>
    <w:rsid w:val="26492DAF"/>
    <w:rsid w:val="26D624A8"/>
    <w:rsid w:val="29657F00"/>
    <w:rsid w:val="2D880661"/>
    <w:rsid w:val="2D8A43D9"/>
    <w:rsid w:val="30EB518F"/>
    <w:rsid w:val="31644F41"/>
    <w:rsid w:val="329A50BF"/>
    <w:rsid w:val="329F1203"/>
    <w:rsid w:val="32FD564D"/>
    <w:rsid w:val="34525525"/>
    <w:rsid w:val="34B54432"/>
    <w:rsid w:val="355A28E3"/>
    <w:rsid w:val="355F439E"/>
    <w:rsid w:val="35D54660"/>
    <w:rsid w:val="36F6663C"/>
    <w:rsid w:val="378679C0"/>
    <w:rsid w:val="37A61E10"/>
    <w:rsid w:val="39761CB6"/>
    <w:rsid w:val="39A22AAB"/>
    <w:rsid w:val="39C42A21"/>
    <w:rsid w:val="3AD4138A"/>
    <w:rsid w:val="3C1A101E"/>
    <w:rsid w:val="3C430575"/>
    <w:rsid w:val="3EB23790"/>
    <w:rsid w:val="40532D51"/>
    <w:rsid w:val="40E439A9"/>
    <w:rsid w:val="41872CB2"/>
    <w:rsid w:val="42096C38"/>
    <w:rsid w:val="424320A9"/>
    <w:rsid w:val="42DC702D"/>
    <w:rsid w:val="4327241A"/>
    <w:rsid w:val="43721740"/>
    <w:rsid w:val="448979F5"/>
    <w:rsid w:val="455C6204"/>
    <w:rsid w:val="465F5FAB"/>
    <w:rsid w:val="467D0B27"/>
    <w:rsid w:val="46BA1434"/>
    <w:rsid w:val="4766336A"/>
    <w:rsid w:val="47E04ECA"/>
    <w:rsid w:val="48DF33D4"/>
    <w:rsid w:val="494871CB"/>
    <w:rsid w:val="495D7B3E"/>
    <w:rsid w:val="496837C2"/>
    <w:rsid w:val="4AB50890"/>
    <w:rsid w:val="4B904E59"/>
    <w:rsid w:val="4B9613D7"/>
    <w:rsid w:val="4CDB0356"/>
    <w:rsid w:val="4CF136D5"/>
    <w:rsid w:val="4D3C7D2E"/>
    <w:rsid w:val="4D4B1038"/>
    <w:rsid w:val="50DE6667"/>
    <w:rsid w:val="512C5624"/>
    <w:rsid w:val="51C969CF"/>
    <w:rsid w:val="52120376"/>
    <w:rsid w:val="523122C4"/>
    <w:rsid w:val="523522B6"/>
    <w:rsid w:val="53D0774F"/>
    <w:rsid w:val="560221AE"/>
    <w:rsid w:val="567726B1"/>
    <w:rsid w:val="57027AF0"/>
    <w:rsid w:val="58862BF5"/>
    <w:rsid w:val="593432C8"/>
    <w:rsid w:val="59BA22FF"/>
    <w:rsid w:val="5A04713E"/>
    <w:rsid w:val="5AC95C92"/>
    <w:rsid w:val="5AD308BE"/>
    <w:rsid w:val="5C341831"/>
    <w:rsid w:val="5CAE3391"/>
    <w:rsid w:val="5D852344"/>
    <w:rsid w:val="5DB07ADB"/>
    <w:rsid w:val="5E7C6CF3"/>
    <w:rsid w:val="5E8048B9"/>
    <w:rsid w:val="603D5747"/>
    <w:rsid w:val="60D07D7A"/>
    <w:rsid w:val="61300818"/>
    <w:rsid w:val="61E15FB7"/>
    <w:rsid w:val="623F45BB"/>
    <w:rsid w:val="62595B4D"/>
    <w:rsid w:val="62854B94"/>
    <w:rsid w:val="6416019A"/>
    <w:rsid w:val="65426D6C"/>
    <w:rsid w:val="66252916"/>
    <w:rsid w:val="665309E3"/>
    <w:rsid w:val="67B473BE"/>
    <w:rsid w:val="68447EF6"/>
    <w:rsid w:val="68F14D31"/>
    <w:rsid w:val="69E95A08"/>
    <w:rsid w:val="6A617C95"/>
    <w:rsid w:val="6ABA1153"/>
    <w:rsid w:val="6B14233D"/>
    <w:rsid w:val="6BA234A1"/>
    <w:rsid w:val="6D323B6A"/>
    <w:rsid w:val="6E32177C"/>
    <w:rsid w:val="6EB04D47"/>
    <w:rsid w:val="6FD37B73"/>
    <w:rsid w:val="70090BB2"/>
    <w:rsid w:val="715F4802"/>
    <w:rsid w:val="72D81BBC"/>
    <w:rsid w:val="73FE47A6"/>
    <w:rsid w:val="74F3598D"/>
    <w:rsid w:val="75127B90"/>
    <w:rsid w:val="75575F1C"/>
    <w:rsid w:val="77316C41"/>
    <w:rsid w:val="77754D7F"/>
    <w:rsid w:val="778E5E41"/>
    <w:rsid w:val="77A17922"/>
    <w:rsid w:val="78770683"/>
    <w:rsid w:val="7B2A5E81"/>
    <w:rsid w:val="7BF32EE0"/>
    <w:rsid w:val="7D133A6A"/>
    <w:rsid w:val="7D796C4C"/>
    <w:rsid w:val="7E431733"/>
    <w:rsid w:val="7F1B7FBA"/>
    <w:rsid w:val="7FAE5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9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15">
    <w:name w:val="页脚 字符"/>
    <w:basedOn w:val="11"/>
    <w:link w:val="6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8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3 字符"/>
    <w:basedOn w:val="11"/>
    <w:link w:val="4"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8" Type="http://schemas.openxmlformats.org/officeDocument/2006/relationships/fontTable" Target="fontTable.xml"/><Relationship Id="rId67" Type="http://schemas.openxmlformats.org/officeDocument/2006/relationships/numbering" Target="numbering.xml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35</Pages>
  <Words>3741</Words>
  <Characters>3803</Characters>
  <Lines>22</Lines>
  <Paragraphs>6</Paragraphs>
  <TotalTime>0</TotalTime>
  <ScaleCrop>false</ScaleCrop>
  <LinksUpToDate>false</LinksUpToDate>
  <CharactersWithSpaces>3804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2019-06-21T02:28:00Z</dcterms:created>
  <dc:creator>袁瑞龙</dc:creator>
  <cp:lastModifiedBy>潘伟群</cp:lastModifiedBy>
  <cp:lastPrinted>2020-04-27T10:10:00Z</cp:lastPrinted>
  <dcterms:modified xsi:type="dcterms:W3CDTF">2024-11-21T02:22:46Z</dcterms:modified>
  <cp:revision>89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A0B6827474464301AA47BABF66915AA1_13</vt:lpwstr>
  </property>
</Properties>
</file>