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r>
        <w:rPr>
          <w:rFonts w:hint="eastAsia"/>
          <w:b/>
          <w:sz w:val="44"/>
          <w:szCs w:val="44"/>
          <w:lang w:eastAsia="zh-CN"/>
        </w:rPr>
        <w:t>产权交易信息发布申请书</w:t>
      </w:r>
    </w:p>
    <w:p>
      <w:pPr>
        <w:jc w:val="center"/>
        <w:rPr>
          <w:rFonts w:ascii="华文中宋" w:hAnsi="华文中宋" w:eastAsia="华文中宋"/>
          <w:sz w:val="30"/>
          <w:lang w:eastAsia="zh-CN"/>
        </w:rPr>
      </w:pPr>
      <w:r>
        <w:rPr>
          <w:rFonts w:hint="eastAsia" w:ascii="华文中宋" w:hAnsi="华文中宋" w:eastAsia="华文中宋"/>
          <w:sz w:val="28"/>
          <w:szCs w:val="28"/>
          <w:lang w:eastAsia="zh-CN"/>
        </w:rPr>
        <w:t>(</w:t>
      </w:r>
      <w:bookmarkStart w:id="6" w:name="_GoBack"/>
      <w:bookmarkEnd w:id="6"/>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2"/>
      <w:bookmarkStart w:id="1" w:name="OLE_LINK1"/>
      <w:r>
        <w:rPr>
          <w:rFonts w:ascii="仿宋_GB2312" w:hAnsi="宋体" w:eastAsia="仿宋_GB2312"/>
          <w:sz w:val="32"/>
          <w:szCs w:val="32"/>
          <w:u w:val="single"/>
          <w:lang w:eastAsia="zh-CN"/>
        </w:rPr>
        <w:t xml:space="preserve">               </w:t>
      </w:r>
      <w:r>
        <w:rPr>
          <w:rFonts w:hint="eastAsia" w:ascii="仿宋_GB2312" w:hAnsi="宋体" w:eastAsia="仿宋_GB2312"/>
          <w:sz w:val="32"/>
          <w:szCs w:val="32"/>
          <w:u w:val="single"/>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19"/>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7"/>
      <w:bookmarkStart w:id="3" w:name="OLE_LINK8"/>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19"/>
        <w:tblW w:w="98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9"/>
            <w:bookmarkStart w:id="5" w:name="OLE_LINK10"/>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ascii="Times New Roman" w:hAnsi="Times New Roman"/>
                <w:szCs w:val="20"/>
                <w:lang w:eastAsia="zh-CN"/>
              </w:rPr>
              <w:sym w:font="Wingdings" w:char="F0FE"/>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□日□月□年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19"/>
        <w:tblW w:w="98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40"/>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40"/>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exact"/>
          <w:jc w:val="center"/>
        </w:trPr>
        <w:tc>
          <w:tcPr>
            <w:tcW w:w="1894"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40"/>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19"/>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709"/>
        <w:gridCol w:w="1552"/>
        <w:gridCol w:w="716"/>
        <w:gridCol w:w="76"/>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832" w:type="dxa"/>
            <w:gridSpan w:val="7"/>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40"/>
              <w:spacing w:before="0" w:after="0"/>
              <w:jc w:val="center"/>
              <w:rPr>
                <w:rFonts w:ascii="宋体"/>
                <w:lang w:eastAsia="zh-CN"/>
              </w:rPr>
            </w:pPr>
          </w:p>
          <w:p>
            <w:pPr>
              <w:pStyle w:val="40"/>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4"/>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4"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40"/>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7" w:type="dxa"/>
            <w:gridSpan w:val="5"/>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jc w:val="center"/>
              <w:rPr>
                <w:rFonts w:ascii="宋体"/>
                <w:lang w:eastAsia="zh-CN"/>
              </w:rPr>
            </w:pPr>
            <w:r>
              <w:rPr>
                <w:rFonts w:hint="eastAsia" w:ascii="宋体" w:hAnsi="宋体"/>
                <w:lang w:eastAsia="zh-CN"/>
              </w:rPr>
              <w:t>价格说明</w:t>
            </w:r>
          </w:p>
        </w:tc>
        <w:tc>
          <w:tcPr>
            <w:tcW w:w="6237" w:type="dxa"/>
            <w:gridSpan w:val="5"/>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pStyle w:val="38"/>
              <w:ind w:firstLine="0"/>
              <w:jc w:val="center"/>
              <w:rPr>
                <w:rFonts w:ascii="宋体"/>
                <w:highlight w:val="yellow"/>
                <w:lang w:eastAsia="zh-CN"/>
              </w:rPr>
            </w:pPr>
            <w:r>
              <w:rPr>
                <w:rFonts w:hint="eastAsia" w:ascii="宋体" w:hAnsi="宋体"/>
                <w:lang w:eastAsia="zh-CN"/>
              </w:rPr>
              <w:t>支付方式</w:t>
            </w:r>
          </w:p>
        </w:tc>
        <w:tc>
          <w:tcPr>
            <w:tcW w:w="6237" w:type="dxa"/>
            <w:gridSpan w:val="5"/>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9" w:type="dxa"/>
            <w:gridSpan w:val="6"/>
            <w:vAlign w:val="center"/>
          </w:tcPr>
          <w:p>
            <w:pPr>
              <w:pStyle w:val="38"/>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10</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1753" w:type="dxa"/>
            <w:vAlign w:val="center"/>
          </w:tcPr>
          <w:p>
            <w:pPr>
              <w:jc w:val="center"/>
              <w:rPr>
                <w:rFonts w:ascii="宋体" w:hAnsi="宋体"/>
                <w:lang w:eastAsia="zh-CN"/>
              </w:rPr>
            </w:pPr>
            <w:r>
              <w:rPr>
                <w:rFonts w:hint="eastAsia" w:ascii="宋体" w:hAnsi="宋体"/>
                <w:lang w:eastAsia="zh-CN"/>
              </w:rPr>
              <w:t>*延牌规则</w:t>
            </w:r>
          </w:p>
        </w:tc>
        <w:tc>
          <w:tcPr>
            <w:tcW w:w="8079" w:type="dxa"/>
            <w:gridSpan w:val="6"/>
            <w:vAlign w:val="center"/>
          </w:tcPr>
          <w:p>
            <w:pPr>
              <w:pStyle w:val="38"/>
              <w:ind w:firstLine="0"/>
              <w:rPr>
                <w:rFonts w:ascii="宋体" w:hAnsi="宋体"/>
                <w:bCs/>
                <w:lang w:eastAsia="zh-CN"/>
              </w:rPr>
            </w:pPr>
            <w:r>
              <w:rPr>
                <w:rFonts w:hint="eastAsia" w:ascii="宋体" w:hAnsi="宋体"/>
                <w:bCs/>
                <w:lang w:eastAsia="zh-CN"/>
              </w:rPr>
              <w:t>□信息发布延长：</w:t>
            </w:r>
          </w:p>
          <w:p>
            <w:pPr>
              <w:pStyle w:val="38"/>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10</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38"/>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9" w:type="dxa"/>
            <w:gridSpan w:val="6"/>
            <w:vAlign w:val="center"/>
          </w:tcPr>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1753" w:type="dxa"/>
            <w:vAlign w:val="center"/>
          </w:tcPr>
          <w:p>
            <w:pPr>
              <w:jc w:val="center"/>
              <w:rPr>
                <w:rFonts w:ascii="宋体" w:hAnsi="宋体"/>
                <w:lang w:eastAsia="zh-CN"/>
              </w:rPr>
            </w:pPr>
            <w:r>
              <w:rPr>
                <w:rFonts w:hint="eastAsia" w:ascii="宋体" w:hAnsi="宋体"/>
                <w:lang w:eastAsia="zh-CN"/>
              </w:rPr>
              <w:t>*交易方式</w:t>
            </w:r>
          </w:p>
        </w:tc>
        <w:tc>
          <w:tcPr>
            <w:tcW w:w="8079" w:type="dxa"/>
            <w:gridSpan w:val="6"/>
            <w:vAlign w:val="center"/>
          </w:tcPr>
          <w:p>
            <w:pPr>
              <w:pStyle w:val="38"/>
              <w:ind w:firstLine="0"/>
              <w:rPr>
                <w:rFonts w:ascii="宋体" w:hAnsi="宋体"/>
                <w:bCs/>
                <w:lang w:eastAsia="zh-CN"/>
              </w:rPr>
            </w:pPr>
            <w:r>
              <w:rPr>
                <w:rFonts w:hint="eastAsia" w:ascii="宋体" w:hAnsi="宋体"/>
                <w:bCs/>
                <w:lang w:eastAsia="zh-CN"/>
              </w:rPr>
              <w:t>□交易方式一：</w:t>
            </w:r>
          </w:p>
          <w:p>
            <w:pPr>
              <w:pStyle w:val="38"/>
              <w:ind w:firstLine="463" w:firstLineChars="193"/>
              <w:rPr>
                <w:rFonts w:hint="eastAsia"/>
                <w:lang w:val="en-US" w:eastAsia="zh-CN"/>
              </w:rPr>
            </w:pPr>
            <w:r>
              <w:rPr>
                <w:rFonts w:hint="eastAsia"/>
                <w:lang w:val="en-US" w:eastAsia="zh-CN"/>
              </w:rPr>
              <w:t>1.</w:t>
            </w:r>
            <w:r>
              <w:rPr>
                <w:lang w:val="en-US" w:eastAsia="zh-CN"/>
              </w:rPr>
              <w:t>仅征集到1家符合资格且缴纳交易保证金的意向方，交易方式选</w:t>
            </w:r>
            <w:r>
              <w:rPr>
                <w:rFonts w:hint="eastAsia"/>
                <w:lang w:val="en-US" w:eastAsia="zh-CN"/>
              </w:rPr>
              <w:t>择协议交易，协议交易方式为：</w:t>
            </w:r>
          </w:p>
          <w:p>
            <w:pPr>
              <w:pStyle w:val="38"/>
              <w:ind w:firstLine="463" w:firstLineChars="193"/>
              <w:rPr>
                <w:rFonts w:hint="eastAsia" w:ascii="宋体" w:hAnsi="宋体"/>
                <w:bCs/>
                <w:lang w:val="en-US" w:eastAsia="zh-CN"/>
              </w:rPr>
            </w:pPr>
            <w:r>
              <w:rPr>
                <w:rFonts w:hint="eastAsia" w:ascii="宋体" w:hAnsi="宋体"/>
                <w:bCs/>
                <w:lang w:eastAsia="zh-CN"/>
              </w:rPr>
              <w:t>□</w:t>
            </w:r>
            <w:r>
              <w:rPr>
                <w:rFonts w:hint="eastAsia" w:ascii="宋体" w:hAnsi="宋体"/>
                <w:bCs/>
                <w:lang w:val="en-US" w:eastAsia="zh-CN"/>
              </w:rPr>
              <w:t>交易双方以挂牌价格作为成交价格签订交易合同。</w:t>
            </w:r>
          </w:p>
          <w:p>
            <w:pPr>
              <w:pStyle w:val="38"/>
              <w:ind w:firstLine="463" w:firstLineChars="193"/>
              <w:rPr>
                <w:rFonts w:hint="eastAsia"/>
                <w:lang w:val="en-US" w:eastAsia="zh-CN"/>
              </w:rPr>
            </w:pPr>
            <w:r>
              <w:rPr>
                <w:rFonts w:hint="eastAsia" w:ascii="宋体" w:hAnsi="宋体"/>
                <w:bCs/>
                <w:lang w:eastAsia="zh-CN"/>
              </w:rPr>
              <w:t>□</w:t>
            </w:r>
            <w:r>
              <w:rPr>
                <w:rFonts w:hint="eastAsia"/>
                <w:lang w:val="en-US" w:eastAsia="zh-CN"/>
              </w:rPr>
              <w:t>交易双方须在广州产权交易所有限公司发出《提请确认成交价格的函》之日起</w:t>
            </w:r>
            <w:r>
              <w:rPr>
                <w:rFonts w:hint="eastAsia"/>
                <w:u w:val="single"/>
                <w:lang w:val="en-US" w:eastAsia="zh-CN"/>
              </w:rPr>
              <w:t xml:space="preserve">    </w:t>
            </w:r>
            <w:r>
              <w:rPr>
                <w:rFonts w:hint="eastAsia"/>
                <w:lang w:val="en-US" w:eastAsia="zh-CN"/>
              </w:rPr>
              <w:t xml:space="preserve">个工作日/自然日内确认成交价格（该价格不得低于挂牌价格）；逾期未确认成交价格的，则视为交易双方同意确认挂牌价格作为成交价格。 </w:t>
            </w:r>
          </w:p>
          <w:p>
            <w:pPr>
              <w:pStyle w:val="38"/>
              <w:ind w:firstLine="463" w:firstLineChars="193"/>
              <w:rPr>
                <w:rFonts w:ascii="宋体" w:hAnsi="宋体"/>
                <w:bCs/>
                <w:lang w:eastAsia="zh-CN"/>
              </w:rPr>
            </w:pPr>
            <w:r>
              <w:rPr>
                <w:rFonts w:hint="eastAsia"/>
                <w:lang w:val="en-US" w:eastAsia="zh-CN"/>
              </w:rPr>
              <w:t>2.如征集到符合资格且缴纳交易保证金的意向方为 2 家或以上的</w:t>
            </w:r>
            <w:r>
              <w:rPr>
                <w:rFonts w:hint="eastAsia" w:ascii="宋体" w:hAnsi="宋体"/>
                <w:bCs/>
                <w:lang w:eastAsia="zh-CN"/>
              </w:rPr>
              <w:t>，选择以下交易方式：</w:t>
            </w:r>
          </w:p>
          <w:p>
            <w:pPr>
              <w:pStyle w:val="38"/>
              <w:ind w:firstLine="463" w:firstLineChars="193"/>
              <w:rPr>
                <w:rFonts w:ascii="宋体" w:hAnsi="宋体"/>
                <w:bCs/>
                <w:lang w:eastAsia="zh-CN"/>
              </w:rPr>
            </w:pPr>
            <w:r>
              <w:rPr>
                <w:rFonts w:hint="eastAsia" w:ascii="宋体" w:hAnsi="宋体"/>
                <w:bCs/>
                <w:lang w:eastAsia="zh-CN"/>
              </w:rPr>
              <w:t>□网络竞价（□网络多次报价</w:t>
            </w:r>
            <w:r>
              <w:rPr>
                <w:rFonts w:ascii="宋体" w:hAnsi="宋体"/>
                <w:bCs/>
                <w:lang w:eastAsia="zh-CN"/>
              </w:rPr>
              <w:t xml:space="preserve">    </w:t>
            </w:r>
            <w:r>
              <w:rPr>
                <w:rFonts w:hint="eastAsia" w:ascii="宋体" w:hAnsi="宋体"/>
                <w:bCs/>
                <w:lang w:eastAsia="zh-CN"/>
              </w:rPr>
              <w:t>□网络一次性报价）</w:t>
            </w:r>
          </w:p>
          <w:p>
            <w:pPr>
              <w:pStyle w:val="38"/>
              <w:ind w:firstLine="463" w:firstLineChars="193"/>
              <w:rPr>
                <w:rFonts w:ascii="宋体" w:hAnsi="宋体"/>
                <w:bCs/>
                <w:lang w:eastAsia="zh-CN"/>
              </w:rPr>
            </w:pPr>
            <w:r>
              <w:rPr>
                <w:rFonts w:hint="eastAsia" w:ascii="宋体" w:hAnsi="宋体"/>
                <w:bCs/>
                <w:lang w:eastAsia="zh-CN"/>
              </w:rPr>
              <w:t>□拍卖</w:t>
            </w:r>
            <w:r>
              <w:rPr>
                <w:rFonts w:ascii="宋体" w:hAnsi="宋体"/>
                <w:bCs/>
                <w:lang w:eastAsia="zh-CN"/>
              </w:rPr>
              <w:t xml:space="preserve">    </w:t>
            </w:r>
            <w:r>
              <w:rPr>
                <w:rFonts w:hint="eastAsia" w:ascii="宋体" w:hAnsi="宋体"/>
                <w:bCs/>
                <w:lang w:eastAsia="zh-CN"/>
              </w:rPr>
              <w:t>□招投标</w:t>
            </w:r>
            <w:r>
              <w:rPr>
                <w:rFonts w:ascii="宋体" w:hAnsi="宋体"/>
                <w:bCs/>
                <w:lang w:eastAsia="zh-CN"/>
              </w:rPr>
              <w:t xml:space="preserve">     </w:t>
            </w:r>
            <w:r>
              <w:rPr>
                <w:rFonts w:hint="eastAsia" w:ascii="宋体" w:hAnsi="宋体"/>
                <w:bCs/>
                <w:lang w:eastAsia="zh-CN"/>
              </w:rPr>
              <w:t>□动态报价</w:t>
            </w:r>
          </w:p>
          <w:p>
            <w:pPr>
              <w:pStyle w:val="38"/>
              <w:ind w:firstLine="463" w:firstLineChars="193"/>
              <w:rPr>
                <w:rFonts w:ascii="宋体" w:hAnsi="宋体"/>
                <w:bCs/>
                <w:lang w:eastAsia="zh-CN"/>
              </w:rPr>
            </w:pPr>
            <w:r>
              <w:rPr>
                <w:rFonts w:hint="eastAsia" w:ascii="宋体" w:hAnsi="宋体"/>
                <w:bCs/>
                <w:lang w:eastAsia="zh-CN"/>
              </w:rPr>
              <w:t>□其他</w:t>
            </w:r>
            <w:r>
              <w:rPr>
                <w:rFonts w:ascii="宋体" w:hAnsi="宋体"/>
                <w:bCs/>
                <w:u w:val="single"/>
                <w:lang w:eastAsia="zh-CN"/>
              </w:rPr>
              <w:t xml:space="preserve">          </w:t>
            </w:r>
            <w:r>
              <w:rPr>
                <w:rFonts w:hint="eastAsia" w:ascii="宋体" w:hAnsi="宋体"/>
                <w:bCs/>
                <w:lang w:eastAsia="zh-CN"/>
              </w:rPr>
              <w:t>（□举牌报价</w:t>
            </w:r>
            <w:r>
              <w:rPr>
                <w:rFonts w:ascii="宋体" w:hAnsi="宋体"/>
                <w:bCs/>
                <w:lang w:eastAsia="zh-CN"/>
              </w:rPr>
              <w:t xml:space="preserve">  </w:t>
            </w:r>
            <w:r>
              <w:rPr>
                <w:rFonts w:hint="eastAsia" w:ascii="宋体" w:hAnsi="宋体"/>
                <w:bCs/>
                <w:lang w:eastAsia="zh-CN"/>
              </w:rPr>
              <w:t>□一次性现场报价</w:t>
            </w:r>
            <w:r>
              <w:rPr>
                <w:rFonts w:ascii="宋体" w:hAnsi="宋体"/>
                <w:bCs/>
                <w:lang w:eastAsia="zh-CN"/>
              </w:rPr>
              <w:t xml:space="preserve">  </w:t>
            </w:r>
            <w:r>
              <w:rPr>
                <w:rFonts w:hint="eastAsia" w:ascii="宋体" w:hAnsi="宋体"/>
                <w:bCs/>
                <w:lang w:eastAsia="zh-CN"/>
              </w:rPr>
              <w:t>□专家评审）</w:t>
            </w:r>
          </w:p>
          <w:p>
            <w:pPr>
              <w:pStyle w:val="12"/>
              <w:ind w:left="0" w:leftChars="0"/>
              <w:rPr>
                <w:lang w:eastAsia="zh-CN"/>
              </w:rPr>
            </w:pPr>
            <w:r>
              <w:rPr>
                <w:rFonts w:hint="eastAsia" w:ascii="宋体" w:hAnsi="宋体"/>
                <w:bCs/>
                <w:lang w:eastAsia="zh-CN"/>
              </w:rPr>
              <w:t>□交易方式二：动态报价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4" w:hRule="atLeast"/>
          <w:jc w:val="center"/>
        </w:trPr>
        <w:tc>
          <w:tcPr>
            <w:tcW w:w="1753" w:type="dxa"/>
            <w:vAlign w:val="center"/>
          </w:tcPr>
          <w:p>
            <w:pPr>
              <w:pStyle w:val="40"/>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9" w:type="dxa"/>
            <w:gridSpan w:val="6"/>
            <w:vAlign w:val="center"/>
          </w:tcPr>
          <w:p>
            <w:pPr>
              <w:rPr>
                <w:rFonts w:ascii="宋体"/>
                <w:bCs/>
                <w:lang w:eastAsia="zh-CN"/>
              </w:rPr>
            </w:pPr>
            <w:r>
              <w:rPr>
                <w:rFonts w:hint="eastAsia" w:ascii="宋体"/>
                <w:bCs/>
                <w:lang w:eastAsia="zh-CN"/>
              </w:rPr>
              <w:t>1、出租方按出租标的现状</w:t>
            </w:r>
            <w:r>
              <w:rPr>
                <w:rFonts w:ascii="宋体"/>
                <w:bCs/>
                <w:lang w:eastAsia="zh-CN"/>
              </w:rPr>
              <w:t>（</w:t>
            </w:r>
            <w:r>
              <w:rPr>
                <w:rFonts w:hint="eastAsia" w:ascii="宋体"/>
                <w:bCs/>
                <w:lang w:eastAsia="zh-CN"/>
              </w:rPr>
              <w:t>包括</w:t>
            </w:r>
            <w:r>
              <w:rPr>
                <w:rFonts w:ascii="宋体"/>
                <w:bCs/>
                <w:lang w:eastAsia="zh-CN"/>
              </w:rPr>
              <w:t>但不限于</w:t>
            </w:r>
            <w:r>
              <w:rPr>
                <w:rFonts w:hint="eastAsia" w:ascii="宋体"/>
                <w:bCs/>
                <w:lang w:eastAsia="zh-CN"/>
              </w:rPr>
              <w:t>现有质量、消防状况</w:t>
            </w:r>
            <w:r>
              <w:rPr>
                <w:rFonts w:ascii="宋体"/>
                <w:bCs/>
                <w:lang w:eastAsia="zh-CN"/>
              </w:rPr>
              <w:t>、</w:t>
            </w:r>
            <w:r>
              <w:rPr>
                <w:rFonts w:hint="eastAsia" w:ascii="宋体"/>
                <w:bCs/>
                <w:lang w:eastAsia="zh-CN"/>
              </w:rPr>
              <w:t>房屋结构、交付使用时依附于出租标的的装修装饰状况</w:t>
            </w:r>
            <w:r>
              <w:rPr>
                <w:rFonts w:ascii="宋体"/>
                <w:bCs/>
                <w:lang w:eastAsia="zh-CN"/>
              </w:rPr>
              <w:t>）</w:t>
            </w:r>
            <w:r>
              <w:rPr>
                <w:rFonts w:hint="eastAsia" w:ascii="宋体"/>
                <w:bCs/>
                <w:lang w:eastAsia="zh-CN"/>
              </w:rPr>
              <w:t>和指定用途出租，不包括出租标的内可移动的设施、设备和物品，并承诺出租标的不存在共有、抵押、查封情况。</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832" w:type="dxa"/>
            <w:gridSpan w:val="7"/>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40"/>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40"/>
              <w:spacing w:before="0" w:after="0"/>
              <w:ind w:left="-2" w:leftChars="-1"/>
              <w:jc w:val="center"/>
              <w:rPr>
                <w:rFonts w:ascii="宋体"/>
                <w:lang w:eastAsia="zh-CN"/>
              </w:rPr>
            </w:pPr>
            <w:r>
              <w:rPr>
                <w:rFonts w:hint="eastAsia"/>
                <w:lang w:eastAsia="zh-CN"/>
              </w:rPr>
              <w:t>交易保证金/诚意金</w:t>
            </w:r>
          </w:p>
        </w:tc>
        <w:tc>
          <w:tcPr>
            <w:tcW w:w="2551" w:type="dxa"/>
            <w:gridSpan w:val="2"/>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60"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40"/>
              <w:spacing w:before="0" w:after="0"/>
              <w:ind w:left="-2" w:leftChars="-1"/>
              <w:jc w:val="center"/>
              <w:rPr>
                <w:rFonts w:ascii="宋体" w:hAnsi="宋体"/>
                <w:lang w:eastAsia="zh-CN"/>
              </w:rPr>
            </w:pPr>
          </w:p>
        </w:tc>
        <w:tc>
          <w:tcPr>
            <w:tcW w:w="2551" w:type="dxa"/>
            <w:gridSpan w:val="2"/>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60"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9" w:type="dxa"/>
            <w:gridSpan w:val="6"/>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753" w:type="dxa"/>
            <w:vAlign w:val="center"/>
          </w:tcPr>
          <w:p>
            <w:pPr>
              <w:pStyle w:val="38"/>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9" w:type="dxa"/>
            <w:gridSpan w:val="6"/>
            <w:vAlign w:val="center"/>
          </w:tcPr>
          <w:p>
            <w:pPr>
              <w:pStyle w:val="38"/>
              <w:ind w:firstLine="0"/>
              <w:rPr>
                <w:lang w:eastAsia="zh-CN"/>
              </w:rPr>
            </w:pPr>
            <w:r>
              <w:rPr>
                <w:rFonts w:ascii="Times New Roman" w:hAnsi="Times New Roman"/>
                <w:szCs w:val="20"/>
                <w:lang w:eastAsia="zh-CN"/>
              </w:rPr>
              <w:sym w:font="Wingdings" w:char="F0FE"/>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38"/>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9" w:type="dxa"/>
            <w:gridSpan w:val="6"/>
            <w:vAlign w:val="center"/>
          </w:tcPr>
          <w:p>
            <w:pPr>
              <w:pStyle w:val="38"/>
              <w:ind w:firstLine="0"/>
              <w:rPr>
                <w:bCs/>
                <w:lang w:eastAsia="zh-CN"/>
              </w:rPr>
            </w:pPr>
            <w:r>
              <w:rPr>
                <w:rFonts w:hint="eastAsia"/>
                <w:bCs/>
                <w:lang w:eastAsia="zh-CN"/>
              </w:rPr>
              <w:t>账户名称：广州产权交易所</w:t>
            </w:r>
            <w:r>
              <w:rPr>
                <w:rFonts w:hint="eastAsia"/>
                <w:bCs/>
                <w:lang w:val="en-US" w:eastAsia="zh-CN"/>
              </w:rPr>
              <w:t>有限公司</w:t>
            </w:r>
            <w:r>
              <w:rPr>
                <w:bCs/>
                <w:lang w:eastAsia="zh-CN"/>
              </w:rPr>
              <w:t xml:space="preserve"> </w:t>
            </w:r>
          </w:p>
          <w:p>
            <w:pPr>
              <w:pStyle w:val="38"/>
              <w:ind w:firstLine="0"/>
              <w:rPr>
                <w:lang w:eastAsia="zh-CN"/>
              </w:rPr>
            </w:pPr>
            <w:r>
              <w:rPr>
                <w:rFonts w:hint="eastAsia"/>
                <w:lang w:eastAsia="zh-CN"/>
              </w:rPr>
              <w:t>账号</w:t>
            </w:r>
            <w:r>
              <w:rPr>
                <w:lang w:eastAsia="zh-CN"/>
              </w:rPr>
              <w:t xml:space="preserve">: </w:t>
            </w:r>
            <w:r>
              <w:rPr>
                <w:rFonts w:hint="eastAsia"/>
                <w:bCs/>
                <w:lang w:val="en-US" w:eastAsia="zh-CN"/>
              </w:rPr>
              <w:t xml:space="preserve">具体以广州产权交易所有限公司分配的账号为准   </w:t>
            </w:r>
          </w:p>
          <w:p>
            <w:pPr>
              <w:pStyle w:val="38"/>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9" w:type="dxa"/>
            <w:gridSpan w:val="6"/>
            <w:vAlign w:val="center"/>
          </w:tcPr>
          <w:p>
            <w:pPr>
              <w:numPr>
                <w:ilvl w:val="-1"/>
                <w:numId w:val="0"/>
              </w:numPr>
              <w:adjustRightInd w:val="0"/>
              <w:snapToGrid w:val="0"/>
              <w:ind w:firstLine="0" w:firstLineChars="0"/>
              <w:jc w:val="both"/>
              <w:rPr>
                <w:rFonts w:hint="eastAsia" w:ascii="宋体"/>
                <w:bCs/>
                <w:lang w:val="en-US" w:eastAsia="zh-CN"/>
              </w:rPr>
            </w:pPr>
            <w:r>
              <w:rPr>
                <w:rFonts w:hint="eastAsia" w:ascii="宋体"/>
                <w:bCs/>
                <w:lang w:val="en-US" w:eastAsia="zh-CN"/>
              </w:rPr>
              <w:t>1.</w:t>
            </w:r>
            <w:r>
              <w:rPr>
                <w:rFonts w:ascii="宋体"/>
                <w:bCs/>
                <w:lang w:val="en-US" w:eastAsia="zh-CN"/>
              </w:rPr>
              <w:t>意向方已仔细阅读交易标的信息公告披露的相关事项，充分</w:t>
            </w:r>
            <w:r>
              <w:rPr>
                <w:rFonts w:hint="eastAsia" w:ascii="宋体"/>
                <w:bCs/>
                <w:lang w:val="en-US" w:eastAsia="zh-CN"/>
              </w:rPr>
              <w:t>了解标的交易相关的披露事项，对承租标的后可能发生的费用和存在的风险进行充分的评估，对交易标的交易程序无异议；</w:t>
            </w:r>
          </w:p>
          <w:p>
            <w:pPr>
              <w:numPr>
                <w:ilvl w:val="-1"/>
                <w:numId w:val="0"/>
              </w:numPr>
              <w:adjustRightInd w:val="0"/>
              <w:snapToGrid w:val="0"/>
              <w:ind w:firstLine="0" w:firstLineChars="0"/>
              <w:jc w:val="both"/>
              <w:rPr>
                <w:rFonts w:ascii="宋体"/>
                <w:bCs/>
                <w:lang w:eastAsia="zh-CN"/>
              </w:rPr>
            </w:pPr>
            <w:r>
              <w:rPr>
                <w:rFonts w:hint="eastAsia" w:ascii="宋体"/>
                <w:bCs/>
                <w:lang w:val="en-US" w:eastAsia="zh-CN"/>
              </w:rPr>
              <w:t>2.意向方向广州产权交易所递交和上传的资料须保证其真实、完整、有效；</w:t>
            </w:r>
          </w:p>
          <w:p>
            <w:pPr>
              <w:numPr>
                <w:ilvl w:val="-1"/>
                <w:numId w:val="0"/>
              </w:numPr>
              <w:adjustRightInd w:val="0"/>
              <w:snapToGrid w:val="0"/>
              <w:ind w:firstLine="0" w:firstLineChars="0"/>
              <w:jc w:val="both"/>
              <w:rPr>
                <w:rFonts w:ascii="宋体"/>
                <w:bCs/>
                <w:lang w:eastAsia="zh-CN"/>
              </w:rPr>
            </w:pPr>
            <w:r>
              <w:rPr>
                <w:rFonts w:hint="eastAsia" w:ascii="宋体"/>
                <w:bCs/>
                <w:lang w:val="en-US" w:eastAsia="zh-CN"/>
              </w:rPr>
              <w:t>3.意向方不得使用作弊、欺诈、强迫等有违公平的手续参与竞价；</w:t>
            </w:r>
          </w:p>
          <w:p>
            <w:pPr>
              <w:numPr>
                <w:ilvl w:val="-1"/>
                <w:numId w:val="0"/>
              </w:numPr>
              <w:adjustRightInd w:val="0"/>
              <w:snapToGrid w:val="0"/>
              <w:ind w:firstLine="0" w:firstLineChars="0"/>
              <w:jc w:val="both"/>
              <w:rPr>
                <w:rFonts w:ascii="宋体"/>
                <w:bCs/>
                <w:lang w:eastAsia="zh-CN"/>
              </w:rPr>
            </w:pPr>
            <w:r>
              <w:rPr>
                <w:rFonts w:hint="eastAsia" w:ascii="宋体"/>
                <w:bCs/>
                <w:lang w:val="en-US" w:eastAsia="zh-CN"/>
              </w:rPr>
              <w:t xml:space="preserve">4.意向方须按照公告和通知，按时参与广州产权交易所组织的交易活动（包括但不限于协议交易、网络竞价、动态报价、评审、拍卖、招投标等）； </w:t>
            </w:r>
          </w:p>
          <w:p>
            <w:pPr>
              <w:numPr>
                <w:ilvl w:val="-1"/>
                <w:numId w:val="0"/>
              </w:numPr>
              <w:adjustRightInd w:val="0"/>
              <w:snapToGrid w:val="0"/>
              <w:ind w:firstLine="0" w:firstLineChars="0"/>
              <w:jc w:val="both"/>
              <w:rPr>
                <w:rFonts w:hint="eastAsia" w:ascii="宋体"/>
                <w:bCs/>
                <w:lang w:val="en-US" w:eastAsia="zh-CN"/>
              </w:rPr>
            </w:pPr>
            <w:r>
              <w:rPr>
                <w:rFonts w:hint="eastAsia" w:ascii="宋体"/>
                <w:bCs/>
                <w:lang w:val="en-US" w:eastAsia="zh-CN"/>
              </w:rPr>
              <w:t>5.意向方参与竞价应保证至少有一家意向方报价，使该项目能产生有效报价；如项目存在优先权人，在未产生有效报价的情况下，优先权人应以挂牌价行权；</w:t>
            </w:r>
          </w:p>
          <w:p>
            <w:pPr>
              <w:numPr>
                <w:ilvl w:val="-1"/>
                <w:numId w:val="0"/>
              </w:numPr>
              <w:adjustRightInd w:val="0"/>
              <w:snapToGrid w:val="0"/>
              <w:ind w:firstLine="0" w:firstLineChars="0"/>
              <w:jc w:val="both"/>
              <w:rPr>
                <w:rFonts w:ascii="宋体"/>
                <w:bCs/>
                <w:lang w:eastAsia="zh-CN"/>
              </w:rPr>
            </w:pPr>
            <w:r>
              <w:rPr>
                <w:rFonts w:hint="eastAsia" w:ascii="宋体"/>
                <w:bCs/>
                <w:lang w:val="en-US" w:eastAsia="zh-CN"/>
              </w:rPr>
              <w:t>6.意向方被确定为承租方后，应按照公告要求签订交易合同，并按约定足额支付交易服务费；</w:t>
            </w:r>
          </w:p>
          <w:p>
            <w:pPr>
              <w:numPr>
                <w:ilvl w:val="-1"/>
                <w:numId w:val="0"/>
              </w:numPr>
              <w:adjustRightInd w:val="0"/>
              <w:snapToGrid w:val="0"/>
              <w:ind w:firstLine="0" w:firstLineChars="0"/>
              <w:jc w:val="both"/>
              <w:rPr>
                <w:rFonts w:ascii="宋体"/>
                <w:bCs/>
                <w:lang w:eastAsia="zh-CN"/>
              </w:rPr>
            </w:pPr>
            <w:r>
              <w:rPr>
                <w:rFonts w:hint="eastAsia" w:ascii="宋体"/>
                <w:bCs/>
                <w:lang w:val="en-US" w:eastAsia="zh-CN"/>
              </w:rPr>
              <w:t>7.遵守项目公告、项目须知的约定，以及广州产权交易所操作规程和有关实施办法等制度要求。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9" w:type="dxa"/>
            <w:gridSpan w:val="6"/>
            <w:vAlign w:val="center"/>
          </w:tcPr>
          <w:p>
            <w:pPr>
              <w:adjustRightInd w:val="0"/>
              <w:snapToGrid w:val="0"/>
              <w:ind w:firstLine="0" w:firstLineChars="0"/>
              <w:jc w:val="both"/>
              <w:rPr>
                <w:rFonts w:ascii="宋体" w:hAnsi="宋体"/>
                <w:bCs/>
                <w:lang w:eastAsia="zh-CN"/>
              </w:rPr>
            </w:pPr>
            <w:r>
              <w:rPr>
                <w:rFonts w:hint="eastAsia" w:ascii="宋体" w:hAnsi="宋体"/>
                <w:bCs/>
                <w:lang w:val="en-US" w:eastAsia="zh-CN"/>
              </w:rPr>
              <w:t>1.</w:t>
            </w:r>
            <w:r>
              <w:rPr>
                <w:rFonts w:hint="eastAsia" w:ascii="宋体" w:hAnsi="宋体"/>
                <w:bCs/>
                <w:lang w:eastAsia="zh-CN"/>
              </w:rPr>
              <w:t>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0" w:firstLineChars="0"/>
              <w:jc w:val="both"/>
              <w:rPr>
                <w:rFonts w:ascii="宋体" w:hAnsi="宋体"/>
                <w:bCs/>
                <w:lang w:eastAsia="zh-CN"/>
              </w:rPr>
            </w:pPr>
            <w:r>
              <w:rPr>
                <w:rFonts w:hint="eastAsia" w:ascii="宋体" w:hAnsi="宋体"/>
                <w:bCs/>
                <w:lang w:val="en-US" w:eastAsia="zh-CN"/>
              </w:rPr>
              <w:t>2.</w:t>
            </w:r>
            <w:r>
              <w:rPr>
                <w:rFonts w:hint="eastAsia" w:ascii="宋体" w:hAnsi="宋体"/>
                <w:bCs/>
                <w:lang w:eastAsia="zh-CN"/>
              </w:rPr>
              <w:t>若意向方未被确认为承租方且未违反上述保证事项所述情形的，其交纳的交易保证金本金由本所于交易结束之日起5个工作日内不计息原路径退回。</w:t>
            </w:r>
          </w:p>
          <w:p>
            <w:pPr>
              <w:adjustRightInd w:val="0"/>
              <w:snapToGrid w:val="0"/>
              <w:ind w:firstLine="0" w:firstLineChars="0"/>
              <w:jc w:val="both"/>
              <w:rPr>
                <w:rFonts w:ascii="宋体"/>
                <w:bCs/>
                <w:lang w:eastAsia="zh-CN"/>
              </w:rPr>
            </w:pPr>
            <w:r>
              <w:rPr>
                <w:rFonts w:hint="eastAsia" w:ascii="宋体" w:hAnsi="宋体"/>
                <w:bCs/>
                <w:lang w:val="en-US" w:eastAsia="zh-CN"/>
              </w:rPr>
              <w:t>3.</w:t>
            </w:r>
            <w:r>
              <w:rPr>
                <w:rFonts w:hint="eastAsia" w:ascii="宋体" w:hAnsi="宋体"/>
                <w:bCs/>
                <w:lang w:eastAsia="zh-CN"/>
              </w:rPr>
              <w:t>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832" w:type="dxa"/>
            <w:gridSpan w:val="7"/>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40"/>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9" w:type="dxa"/>
            <w:gridSpan w:val="6"/>
            <w:vAlign w:val="center"/>
          </w:tcPr>
          <w:p>
            <w:pPr>
              <w:ind w:left="240" w:hanging="240" w:hangingChars="100"/>
              <w:jc w:val="both"/>
              <w:rPr>
                <w:rFonts w:ascii="宋体"/>
                <w:bCs/>
                <w:lang w:eastAsia="zh-CN"/>
              </w:rPr>
            </w:pPr>
            <w:r>
              <w:rPr>
                <w:rFonts w:hint="eastAsia" w:ascii="宋体"/>
                <w:bCs/>
                <w:lang w:val="en-US" w:eastAsia="zh-CN"/>
              </w:rPr>
              <w:t>□1</w:t>
            </w:r>
            <w:r>
              <w:rPr>
                <w:rFonts w:ascii="宋体"/>
                <w:bCs/>
                <w:lang w:val="en-US" w:eastAsia="zh-CN"/>
              </w:rPr>
              <w:t>.成交方须于广州产权交易所有限公司发出《成交通知书》</w:t>
            </w:r>
            <w:r>
              <w:rPr>
                <w:rFonts w:hint="eastAsia" w:ascii="宋体"/>
                <w:bCs/>
                <w:lang w:val="en-US" w:eastAsia="zh-CN"/>
              </w:rPr>
              <w:t>之日起</w:t>
            </w:r>
            <w:r>
              <w:rPr>
                <w:rFonts w:hint="eastAsia" w:ascii="宋体"/>
                <w:bCs/>
                <w:u w:val="single"/>
                <w:lang w:val="en-US" w:eastAsia="zh-CN"/>
              </w:rPr>
              <w:t xml:space="preserve">  </w:t>
            </w:r>
            <w:r>
              <w:rPr>
                <w:rFonts w:hint="eastAsia" w:ascii="宋体"/>
                <w:bCs/>
                <w:lang w:val="en-US" w:eastAsia="zh-CN"/>
              </w:rPr>
              <w:t xml:space="preserve">个工作日内签订交易合同。如涉及委托方企务公开要求公示的，出租方将于公示结束后签订交易合同。（市属国有企业及参照出租类可选用） </w:t>
            </w:r>
          </w:p>
          <w:p>
            <w:pPr>
              <w:ind w:left="240" w:hanging="240" w:hangingChars="100"/>
              <w:jc w:val="both"/>
              <w:rPr>
                <w:rFonts w:ascii="宋体"/>
                <w:bCs/>
                <w:lang w:eastAsia="zh-CN"/>
              </w:rPr>
            </w:pPr>
            <w:r>
              <w:rPr>
                <w:rFonts w:hint="eastAsia" w:ascii="宋体"/>
                <w:bCs/>
                <w:lang w:val="en-US" w:eastAsia="zh-CN"/>
              </w:rPr>
              <w:t xml:space="preserve">□1.成交方须于广州产权交易所有限公司发出《成交通知书》后， </w:t>
            </w:r>
          </w:p>
          <w:p>
            <w:pPr>
              <w:ind w:left="240" w:hanging="240" w:hangingChars="100"/>
              <w:jc w:val="both"/>
              <w:rPr>
                <w:rFonts w:ascii="宋体"/>
                <w:bCs/>
                <w:lang w:eastAsia="zh-CN"/>
              </w:rPr>
            </w:pPr>
            <w:r>
              <w:rPr>
                <w:rFonts w:hint="eastAsia" w:ascii="宋体"/>
                <w:bCs/>
                <w:lang w:val="en-US" w:eastAsia="zh-CN"/>
              </w:rPr>
              <w:t>在成交结果公示期满无人对本次交易提出异议之日起</w:t>
            </w:r>
            <w:r>
              <w:rPr>
                <w:rFonts w:hint="eastAsia" w:ascii="宋体"/>
                <w:bCs/>
                <w:u w:val="none"/>
                <w:lang w:val="en-US" w:eastAsia="zh-CN"/>
              </w:rPr>
              <w:t xml:space="preserve">  </w:t>
            </w:r>
            <w:r>
              <w:rPr>
                <w:rFonts w:hint="eastAsia" w:ascii="宋体"/>
                <w:bCs/>
                <w:lang w:val="en-US" w:eastAsia="zh-CN"/>
              </w:rPr>
              <w:t>个工作日内签订交易合同。（市属行政事业单位及参照出租类可选用）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753" w:type="dxa"/>
            <w:vMerge w:val="continue"/>
            <w:vAlign w:val="center"/>
          </w:tcPr>
          <w:p>
            <w:pPr>
              <w:pStyle w:val="40"/>
              <w:spacing w:before="0" w:after="0"/>
              <w:jc w:val="center"/>
              <w:rPr>
                <w:rFonts w:ascii="宋体" w:hAnsi="宋体"/>
                <w:lang w:eastAsia="zh-CN"/>
              </w:rPr>
            </w:pPr>
          </w:p>
        </w:tc>
        <w:tc>
          <w:tcPr>
            <w:tcW w:w="8079" w:type="dxa"/>
            <w:gridSpan w:val="6"/>
            <w:vAlign w:val="center"/>
          </w:tcPr>
          <w:p>
            <w:pPr>
              <w:ind w:left="600" w:hanging="600" w:hangingChars="250"/>
              <w:jc w:val="left"/>
              <w:rPr>
                <w:rFonts w:ascii="宋体"/>
                <w:bCs/>
                <w:lang w:eastAsia="zh-CN"/>
              </w:rPr>
            </w:pPr>
            <w:r>
              <w:rPr>
                <w:rFonts w:hint="eastAsia" w:ascii="宋体"/>
                <w:bCs/>
                <w:lang w:val="en-US" w:eastAsia="zh-CN"/>
              </w:rPr>
              <w:t>2.成交方须于广州产权交易所有限公司发出《成交通知书》之日起5个工作日内向广州产权交易所有限公司支付交易服务费，交易服务费标准如下：</w:t>
            </w:r>
            <w:r>
              <w:rPr>
                <w:rFonts w:hint="eastAsia" w:ascii="宋体"/>
                <w:bCs/>
                <w:u w:val="single"/>
                <w:lang w:val="en-US" w:eastAsia="zh-CN"/>
              </w:rPr>
              <w:t xml:space="preserve">         </w:t>
            </w:r>
            <w:r>
              <w:rPr>
                <w:rFonts w:hint="eastAsia" w:ascii="宋体"/>
                <w:bCs/>
                <w:lang w:val="en-US" w:eastAsia="zh-CN"/>
              </w:rPr>
              <w:t>，交易服务费可在成交方交纳的交易保证金中扣付。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40"/>
              <w:spacing w:before="0" w:after="0"/>
              <w:jc w:val="center"/>
              <w:rPr>
                <w:rFonts w:ascii="宋体" w:hAnsi="宋体"/>
                <w:lang w:eastAsia="zh-CN"/>
              </w:rPr>
            </w:pPr>
          </w:p>
        </w:tc>
        <w:tc>
          <w:tcPr>
            <w:tcW w:w="8079" w:type="dxa"/>
            <w:gridSpan w:val="6"/>
            <w:vAlign w:val="center"/>
          </w:tcPr>
          <w:p>
            <w:pPr>
              <w:ind w:left="240" w:hanging="240" w:hangingChars="100"/>
              <w:jc w:val="both"/>
              <w:rPr>
                <w:rFonts w:hint="eastAsia" w:ascii="宋体"/>
                <w:bCs/>
                <w:lang w:eastAsia="zh-CN"/>
              </w:rPr>
            </w:pPr>
            <w:r>
              <w:rPr>
                <w:rFonts w:hint="eastAsia" w:ascii="宋体"/>
                <w:bCs/>
                <w:lang w:val="en-US" w:eastAsia="zh-CN"/>
              </w:rPr>
              <w:t xml:space="preserve">3.候选成交规则（可选用，如选用且采用事中行权请与工作人员沟通确认候选规则）： </w:t>
            </w:r>
          </w:p>
          <w:p>
            <w:pPr>
              <w:ind w:left="240" w:hanging="240" w:hangingChars="100"/>
              <w:jc w:val="both"/>
              <w:rPr>
                <w:rFonts w:hint="eastAsia" w:ascii="宋体"/>
                <w:bCs/>
                <w:lang w:val="en-US" w:eastAsia="zh-CN"/>
              </w:rPr>
            </w:pPr>
            <w:r>
              <w:rPr>
                <w:rFonts w:hint="eastAsia" w:ascii="宋体"/>
                <w:bCs/>
                <w:lang w:val="en-US" w:eastAsia="zh-CN"/>
              </w:rPr>
              <w:t>①本次项目采用候选成交规则，即根据交易结果，按意向方的最高报价（适用于报价情况）/综合得分（适用于综合评审情况）由高至低确认成交的轮候顺序。广州产权交易所有限公司于交易活动结束后向委托方、各候选人发出《交易结果通知书》,候选人在广州产权交易所有限公司发出《成交通知书》后被确认为成交方。</w:t>
            </w:r>
          </w:p>
          <w:p>
            <w:pPr>
              <w:ind w:left="240" w:hanging="240" w:hangingChars="100"/>
              <w:jc w:val="both"/>
              <w:rPr>
                <w:rFonts w:hint="eastAsia" w:ascii="宋体"/>
                <w:bCs/>
                <w:lang w:eastAsia="zh-CN"/>
              </w:rPr>
            </w:pPr>
            <w:r>
              <w:rPr>
                <w:rFonts w:hint="eastAsia" w:ascii="宋体"/>
                <w:bCs/>
                <w:lang w:val="en-US" w:eastAsia="zh-CN"/>
              </w:rPr>
              <w:t xml:space="preserve">②如该成交方未能按公告规定签署交易合同，则委托方取消其成交方资格，该成交方视为违约须承担缔约过失责任或违约责任，其交纳的交易保证金不予退回，作为违约金归本所广州产权交易所有限公司和委托方所有。本所将启动候选人轮候成交机制，依此类推。 </w:t>
            </w:r>
          </w:p>
          <w:p>
            <w:pPr>
              <w:ind w:left="240" w:hanging="240" w:hangingChars="100"/>
              <w:jc w:val="both"/>
              <w:rPr>
                <w:rFonts w:hint="eastAsia" w:ascii="宋体"/>
                <w:bCs/>
                <w:lang w:eastAsia="zh-CN"/>
              </w:rPr>
            </w:pPr>
            <w:r>
              <w:rPr>
                <w:rFonts w:hint="eastAsia" w:ascii="宋体"/>
                <w:bCs/>
                <w:lang w:val="en-US" w:eastAsia="zh-CN"/>
              </w:rPr>
              <w:t xml:space="preserve">③如项目存在优先权人且符合交易参与资格，优先权人的行权方式为事后行权：交易活动结束后，优先权人应在规定时间按相关指定方式确认是否行权（如本所以书面形式提请确认行权，优先权人须函复确认）。如优先权人确认行权，则优先权人确认为成交方；否则，视为其放弃行使优先权。优先权人对所有候选人的最高报价有且仅有一次机会行权。 </w:t>
            </w:r>
          </w:p>
          <w:p>
            <w:pPr>
              <w:ind w:left="240" w:hanging="240" w:hangingChars="100"/>
              <w:jc w:val="both"/>
              <w:rPr>
                <w:rFonts w:ascii="宋体"/>
                <w:bCs/>
                <w:lang w:eastAsia="zh-CN"/>
              </w:rPr>
            </w:pPr>
            <w:r>
              <w:rPr>
                <w:rFonts w:hint="eastAsia" w:ascii="宋体"/>
                <w:bCs/>
                <w:lang w:val="en-US" w:eastAsia="zh-CN"/>
              </w:rPr>
              <w:t>④如全部候选人均未按规定签订成交文件，且优先权人尚未行权的，优先权人应以挂牌价格行使优先权并按规定签署成交文件，否则，优先权人亦视同违约。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40"/>
              <w:spacing w:before="0" w:after="0"/>
              <w:jc w:val="center"/>
              <w:rPr>
                <w:rFonts w:ascii="宋体" w:hAnsi="宋体"/>
                <w:lang w:eastAsia="zh-CN"/>
              </w:rPr>
            </w:pPr>
          </w:p>
        </w:tc>
        <w:tc>
          <w:tcPr>
            <w:tcW w:w="8079" w:type="dxa"/>
            <w:gridSpan w:val="6"/>
            <w:vAlign w:val="center"/>
          </w:tcPr>
          <w:p>
            <w:pPr>
              <w:rPr>
                <w:rFonts w:ascii="宋体"/>
                <w:bCs/>
                <w:lang w:eastAsia="zh-CN"/>
              </w:rPr>
            </w:pPr>
            <w:r>
              <w:rPr>
                <w:rFonts w:hint="eastAsia" w:ascii="宋体"/>
                <w:bCs/>
                <w:lang w:eastAsia="zh-CN"/>
              </w:rPr>
              <w:t>4.</w:t>
            </w:r>
            <w:r>
              <w:rPr>
                <w:rFonts w:hint="eastAsia" w:ascii="宋体"/>
                <w:bCs/>
                <w:lang w:val="en-US" w:eastAsia="zh-CN"/>
              </w:rPr>
              <w:t>意向方应仔细阅读标的信息公告，充分了解标的交易相关的披露事项。意向方应自行对标的进行必要和适当的独立调查和分析，不依赖于广州产权交易所和出租方提供的信息和解释，对交易标的的现状作了充分的了解，对承租标的后可能发生的费用和存在的风险进行充分的评估。意向方应在调查和了解的基础上独立、自愿作出参与交易的决定，并自行承担所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1753" w:type="dxa"/>
            <w:vMerge w:val="continue"/>
            <w:vAlign w:val="center"/>
          </w:tcPr>
          <w:p>
            <w:pPr>
              <w:pStyle w:val="40"/>
              <w:spacing w:before="0" w:after="0"/>
              <w:jc w:val="center"/>
              <w:rPr>
                <w:rFonts w:ascii="宋体" w:hAnsi="宋体"/>
                <w:lang w:eastAsia="zh-CN"/>
              </w:rPr>
            </w:pPr>
          </w:p>
        </w:tc>
        <w:tc>
          <w:tcPr>
            <w:tcW w:w="8079" w:type="dxa"/>
            <w:gridSpan w:val="6"/>
            <w:vAlign w:val="center"/>
          </w:tcPr>
          <w:p>
            <w:pPr>
              <w:rPr>
                <w:rFonts w:ascii="宋体"/>
                <w:bCs/>
                <w:lang w:eastAsia="zh-CN"/>
              </w:rPr>
            </w:pPr>
            <w:r>
              <w:rPr>
                <w:rFonts w:ascii="宋体"/>
                <w:bCs/>
                <w:lang w:eastAsia="zh-CN"/>
              </w:rPr>
              <w:t>5</w:t>
            </w:r>
            <w:r>
              <w:rPr>
                <w:rFonts w:hint="eastAsia" w:ascii="宋体"/>
                <w:bCs/>
                <w:lang w:eastAsia="zh-CN"/>
              </w:rPr>
              <w:t>.承租方</w:t>
            </w:r>
            <w:r>
              <w:rPr>
                <w:rFonts w:ascii="宋体"/>
                <w:bCs/>
                <w:lang w:eastAsia="zh-CN"/>
              </w:rPr>
              <w:t>须按出租方提供的租赁合同版本签署。</w:t>
            </w: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832" w:type="dxa"/>
            <w:gridSpan w:val="7"/>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753" w:type="dxa"/>
            <w:vAlign w:val="center"/>
          </w:tcPr>
          <w:p>
            <w:pPr>
              <w:pStyle w:val="40"/>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9" w:type="dxa"/>
            <w:gridSpan w:val="6"/>
            <w:vAlign w:val="center"/>
          </w:tcPr>
          <w:p>
            <w:pPr>
              <w:rPr>
                <w:rFonts w:ascii="宋体"/>
                <w:lang w:eastAsia="zh-CN"/>
              </w:rPr>
            </w:pPr>
            <w:r>
              <w:rPr>
                <w:rFonts w:hint="eastAsia" w:ascii="宋体" w:hAnsi="宋体"/>
                <w:lang w:eastAsia="zh-CN"/>
              </w:rPr>
              <w:t>□无需审核</w:t>
            </w:r>
            <w:r>
              <w:rPr>
                <w:rFonts w:ascii="宋体" w:hAnsi="宋体"/>
                <w:lang w:eastAsia="zh-CN"/>
              </w:rPr>
              <w:t xml:space="preserve">   </w:t>
            </w:r>
            <w:r>
              <w:rPr>
                <w:rFonts w:hint="eastAsia" w:ascii="宋体" w:hAnsi="宋体"/>
                <w:lang w:eastAsia="zh-CN"/>
              </w:rPr>
              <w:t>□仅广交所审核    □广交所与出租方共同审核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6"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753" w:type="dxa"/>
            <w:vMerge w:val="continue"/>
            <w:vAlign w:val="center"/>
          </w:tcPr>
          <w:p>
            <w:pPr>
              <w:pStyle w:val="40"/>
              <w:spacing w:before="0" w:after="0"/>
              <w:jc w:val="center"/>
              <w:rPr>
                <w:rFonts w:ascii="宋体"/>
                <w:b/>
                <w:lang w:eastAsia="zh-CN"/>
              </w:rPr>
            </w:pPr>
          </w:p>
        </w:tc>
        <w:tc>
          <w:tcPr>
            <w:tcW w:w="8079" w:type="dxa"/>
            <w:gridSpan w:val="6"/>
            <w:vAlign w:val="center"/>
          </w:tcPr>
          <w:p>
            <w:pPr>
              <w:rPr>
                <w:rFonts w:ascii="宋体"/>
                <w:bCs/>
                <w:lang w:eastAsia="zh-CN"/>
              </w:rPr>
            </w:pPr>
            <w:r>
              <w:rPr>
                <w:rFonts w:ascii="宋体"/>
                <w:bCs/>
                <w:lang w:eastAsia="zh-CN"/>
              </w:rPr>
              <w:t xml:space="preserve">1. </w:t>
            </w:r>
            <w:r>
              <w:rPr>
                <w:rFonts w:hint="eastAsia" w:ascii="宋体"/>
                <w:bCs/>
                <w:lang w:eastAsia="zh-CN"/>
              </w:rPr>
              <w:t>意向方须于公告期内（截止日17时之前）在广州产权交易所官网（www.gemas.com.cn）点击“注册用户”完成网上报名。</w:t>
            </w:r>
          </w:p>
          <w:p>
            <w:pPr>
              <w:rPr>
                <w:rFonts w:ascii="宋体"/>
                <w:bCs/>
                <w:lang w:eastAsia="zh-CN"/>
              </w:rPr>
            </w:pPr>
            <w:r>
              <w:rPr>
                <w:rFonts w:hint="eastAsia" w:ascii="宋体"/>
                <w:bCs/>
                <w:lang w:eastAsia="zh-CN"/>
              </w:rPr>
              <w:t>2. 意向承租方必须为中华人民共和国境内注册成立、合法存续的法人、非法人组织或具有完全民事行为能力的自然人（含个体工商户）。</w:t>
            </w:r>
          </w:p>
          <w:p>
            <w:pPr>
              <w:rPr>
                <w:rFonts w:ascii="宋体"/>
                <w:bCs/>
                <w:lang w:eastAsia="zh-CN"/>
              </w:rPr>
            </w:pPr>
            <w:r>
              <w:rPr>
                <w:rFonts w:hint="eastAsia" w:ascii="宋体"/>
                <w:bCs/>
                <w:lang w:eastAsia="zh-CN"/>
              </w:rPr>
              <w:t>3.</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6"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ascii="Times New Roman" w:hAnsi="Times New Roman"/>
                <w:szCs w:val="20"/>
                <w:lang w:eastAsia="zh-CN"/>
              </w:rPr>
              <w:sym w:font="Wingdings" w:char="F0FE"/>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40"/>
              <w:jc w:val="center"/>
              <w:rPr>
                <w:rFonts w:ascii="宋体"/>
                <w:lang w:eastAsia="zh-CN"/>
              </w:rPr>
            </w:pP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6" w:type="dxa"/>
            <w:gridSpan w:val="3"/>
            <w:vAlign w:val="center"/>
          </w:tcPr>
          <w:p>
            <w:pPr>
              <w:rPr>
                <w:rFonts w:ascii="宋体"/>
                <w:lang w:eastAsia="zh-CN"/>
              </w:rPr>
            </w:pPr>
            <w:r>
              <w:rPr>
                <w:rFonts w:ascii="Times New Roman" w:hAnsi="Times New Roman"/>
                <w:szCs w:val="20"/>
                <w:lang w:eastAsia="zh-CN"/>
              </w:rPr>
              <w:sym w:font="Wingdings" w:char="F0FE"/>
            </w: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40"/>
              <w:spacing w:before="0" w:after="0"/>
              <w:jc w:val="center"/>
              <w:rPr>
                <w:rFonts w:ascii="宋体"/>
                <w:b/>
                <w:lang w:eastAsia="zh-CN"/>
              </w:rPr>
            </w:pPr>
          </w:p>
        </w:tc>
        <w:tc>
          <w:tcPr>
            <w:tcW w:w="8079" w:type="dxa"/>
            <w:gridSpan w:val="6"/>
            <w:vAlign w:val="center"/>
          </w:tcPr>
          <w:p>
            <w:pPr>
              <w:ind w:firstLine="480" w:firstLineChars="200"/>
              <w:rPr>
                <w:rFonts w:hint="eastAsia" w:ascii="宋体"/>
                <w:bCs/>
                <w:lang w:val="en-US" w:eastAsia="zh-CN"/>
              </w:rPr>
            </w:pPr>
            <w:r>
              <w:rPr>
                <w:rFonts w:ascii="宋体"/>
                <w:bCs/>
                <w:lang w:val="en-US" w:eastAsia="zh-CN"/>
              </w:rPr>
              <w:t>意向方应于公告期内（截止日 17 时之前）在广州产权交易所有</w:t>
            </w:r>
            <w:r>
              <w:rPr>
                <w:rFonts w:hint="eastAsia" w:ascii="宋体"/>
                <w:bCs/>
                <w:lang w:val="en-US" w:eastAsia="zh-CN"/>
              </w:rPr>
              <w:t>限公司官方网站线上报名登记。意向方须根据项目公告要求，将以下相关资料的原件扫描/拍照上传（如为复印件的，意向方应签字、盖章后扫描/拍照）至广州产权交易所有限公司交易系统，并保证其真实、完整、有效。</w:t>
            </w:r>
          </w:p>
          <w:p>
            <w:pPr>
              <w:ind w:firstLine="480" w:firstLineChars="200"/>
              <w:rPr>
                <w:rFonts w:ascii="宋体"/>
                <w:bCs/>
                <w:lang w:eastAsia="zh-CN"/>
              </w:rPr>
            </w:pPr>
            <w:r>
              <w:rPr>
                <w:rFonts w:hint="eastAsia" w:ascii="宋体"/>
                <w:bCs/>
                <w:lang w:val="en-US" w:eastAsia="zh-CN"/>
              </w:rPr>
              <w:t>意向方如被确认为成交方，须于广州产权交易所有限公司发出《成交通知书》之日起</w:t>
            </w:r>
            <w:r>
              <w:rPr>
                <w:rFonts w:hint="eastAsia" w:ascii="宋体"/>
                <w:bCs/>
                <w:u w:val="single"/>
                <w:lang w:val="en-US" w:eastAsia="zh-CN"/>
              </w:rPr>
              <w:t xml:space="preserve">   </w:t>
            </w:r>
            <w:r>
              <w:rPr>
                <w:rFonts w:hint="eastAsia" w:ascii="宋体"/>
                <w:bCs/>
                <w:lang w:val="en-US" w:eastAsia="zh-CN"/>
              </w:rPr>
              <w:t>个工作日内</w:t>
            </w:r>
            <w:r>
              <w:rPr>
                <w:rFonts w:hint="eastAsia" w:ascii="宋体"/>
                <w:b/>
                <w:bCs w:val="0"/>
                <w:lang w:val="en-US" w:eastAsia="zh-CN"/>
              </w:rPr>
              <w:t>（该时限不超过交易合同签订截止期限）</w:t>
            </w:r>
            <w:r>
              <w:rPr>
                <w:rFonts w:hint="eastAsia" w:ascii="宋体"/>
                <w:bCs/>
                <w:lang w:val="en-US" w:eastAsia="zh-CN"/>
              </w:rPr>
              <w:t>将报名登记时所上传的相关资料提交至</w:t>
            </w:r>
            <w:r>
              <w:rPr>
                <w:rFonts w:hint="eastAsia" w:ascii="宋体"/>
                <w:b/>
                <w:bCs w:val="0"/>
                <w:lang w:val="en-US" w:eastAsia="zh-CN"/>
              </w:rPr>
              <w:t>广州产权交易所有限公司/委托方（二选一，公告中明确）</w:t>
            </w:r>
            <w:r>
              <w:rPr>
                <w:rFonts w:hint="eastAsia" w:ascii="宋体"/>
                <w:bCs/>
                <w:lang w:val="en-US" w:eastAsia="zh-CN"/>
              </w:rPr>
              <w:t>（如无特殊说明的，均应当提交原件，无需提交原件的，应提交复印件并由原件持有方签字、盖章，标注“此件与原件相符”字样。要求提供复印件的，成交方应提供原件核对）；否则，视为其违约。广州产权交易所有限公司和委托方有权取消其成交资格，该意向方须承担缔约过失责任或违约责任，其交纳的交易保证金不予退回，作为违约金归广州产权交易所有限公司和委托方所有。</w:t>
            </w:r>
          </w:p>
          <w:p>
            <w:pPr>
              <w:rPr>
                <w:rFonts w:ascii="宋体"/>
                <w:bCs/>
                <w:lang w:eastAsia="zh-CN"/>
              </w:rPr>
            </w:pPr>
          </w:p>
          <w:p>
            <w:pPr>
              <w:rPr>
                <w:rFonts w:ascii="宋体"/>
                <w:bCs/>
                <w:lang w:eastAsia="zh-CN"/>
              </w:rPr>
            </w:pPr>
            <w:r>
              <w:rPr>
                <w:rFonts w:ascii="宋体"/>
                <w:bCs/>
                <w:lang w:eastAsia="zh-CN"/>
              </w:rPr>
              <w:t>1</w:t>
            </w:r>
            <w:r>
              <w:rPr>
                <w:rFonts w:hint="eastAsia" w:ascii="宋体"/>
                <w:bCs/>
                <w:lang w:eastAsia="zh-CN"/>
              </w:rPr>
              <w:t>、法人</w:t>
            </w:r>
            <w:r>
              <w:rPr>
                <w:rFonts w:ascii="宋体"/>
                <w:bCs/>
                <w:lang w:eastAsia="zh-CN"/>
              </w:rPr>
              <w:t>/</w:t>
            </w:r>
            <w:r>
              <w:rPr>
                <w:rFonts w:hint="eastAsia" w:ascii="宋体"/>
                <w:bCs/>
                <w:lang w:eastAsia="zh-CN"/>
              </w:rPr>
              <w:t>非法人组织</w:t>
            </w:r>
            <w:r>
              <w:rPr>
                <w:rFonts w:ascii="宋体"/>
                <w:bCs/>
                <w:lang w:eastAsia="zh-CN"/>
              </w:rPr>
              <w:t>/</w:t>
            </w:r>
            <w:r>
              <w:rPr>
                <w:rFonts w:hint="eastAsia" w:ascii="宋体"/>
                <w:bCs/>
                <w:lang w:eastAsia="zh-CN"/>
              </w:rPr>
              <w:t>个体工商户应提交：</w:t>
            </w:r>
          </w:p>
          <w:p>
            <w:pPr>
              <w:rPr>
                <w:rFonts w:ascii="宋体"/>
                <w:bCs/>
                <w:lang w:eastAsia="zh-CN"/>
              </w:rPr>
            </w:pPr>
            <w:r>
              <w:rPr>
                <w:rFonts w:hint="eastAsia" w:ascii="宋体"/>
                <w:bCs/>
                <w:lang w:eastAsia="zh-CN"/>
              </w:rPr>
              <w:t>（1）法人</w:t>
            </w:r>
            <w:r>
              <w:rPr>
                <w:rFonts w:ascii="宋体"/>
                <w:bCs/>
                <w:lang w:eastAsia="zh-CN"/>
              </w:rPr>
              <w:t>/</w:t>
            </w:r>
            <w:r>
              <w:rPr>
                <w:rFonts w:hint="eastAsia" w:ascii="宋体"/>
                <w:bCs/>
                <w:lang w:eastAsia="zh-CN"/>
              </w:rPr>
              <w:t>非法人组织</w:t>
            </w:r>
            <w:r>
              <w:rPr>
                <w:rFonts w:ascii="宋体"/>
                <w:bCs/>
                <w:lang w:eastAsia="zh-CN"/>
              </w:rPr>
              <w:t>/</w:t>
            </w:r>
            <w:r>
              <w:rPr>
                <w:rFonts w:hint="eastAsia" w:ascii="宋体"/>
                <w:bCs/>
                <w:lang w:eastAsia="zh-CN"/>
              </w:rPr>
              <w:t>个体工商户资格证明、法定代表人</w:t>
            </w:r>
            <w:r>
              <w:rPr>
                <w:rFonts w:ascii="宋体"/>
                <w:bCs/>
                <w:lang w:eastAsia="zh-CN"/>
              </w:rPr>
              <w:t>/</w:t>
            </w:r>
            <w:r>
              <w:rPr>
                <w:rFonts w:hint="eastAsia" w:ascii="宋体"/>
                <w:bCs/>
                <w:lang w:eastAsia="zh-CN"/>
              </w:rPr>
              <w:t>负责人</w:t>
            </w:r>
            <w:r>
              <w:rPr>
                <w:rFonts w:ascii="宋体"/>
                <w:bCs/>
                <w:lang w:eastAsia="zh-CN"/>
              </w:rPr>
              <w:t>/</w:t>
            </w:r>
            <w:r>
              <w:rPr>
                <w:rFonts w:hint="eastAsia" w:ascii="宋体"/>
                <w:bCs/>
                <w:lang w:eastAsia="zh-CN"/>
              </w:rPr>
              <w:t>经营者身份证、法定代表人</w:t>
            </w:r>
            <w:r>
              <w:rPr>
                <w:rFonts w:ascii="宋体"/>
                <w:bCs/>
                <w:lang w:eastAsia="zh-CN"/>
              </w:rPr>
              <w:t>/</w:t>
            </w:r>
            <w:r>
              <w:rPr>
                <w:rFonts w:hint="eastAsia" w:ascii="宋体"/>
                <w:bCs/>
                <w:lang w:eastAsia="zh-CN"/>
              </w:rPr>
              <w:t>负责人</w:t>
            </w:r>
            <w:r>
              <w:rPr>
                <w:rFonts w:ascii="宋体"/>
                <w:bCs/>
                <w:lang w:eastAsia="zh-CN"/>
              </w:rPr>
              <w:t>/</w:t>
            </w:r>
            <w:r>
              <w:rPr>
                <w:rFonts w:hint="eastAsia" w:ascii="宋体"/>
                <w:bCs/>
                <w:lang w:eastAsia="zh-CN"/>
              </w:rPr>
              <w:t>经营者身份证明书；</w:t>
            </w:r>
          </w:p>
          <w:p>
            <w:pPr>
              <w:rPr>
                <w:rFonts w:ascii="宋体"/>
                <w:bCs/>
                <w:lang w:eastAsia="zh-CN"/>
              </w:rPr>
            </w:pPr>
            <w:r>
              <w:rPr>
                <w:rFonts w:hint="eastAsia" w:ascii="宋体"/>
                <w:bCs/>
                <w:lang w:eastAsia="zh-CN"/>
              </w:rPr>
              <w:t>（2）广州产权交易所要求的其他有关资料。</w:t>
            </w:r>
          </w:p>
          <w:p>
            <w:pPr>
              <w:rPr>
                <w:rFonts w:ascii="宋体"/>
                <w:bCs/>
                <w:lang w:eastAsia="zh-CN"/>
              </w:rPr>
            </w:pPr>
            <w:r>
              <w:rPr>
                <w:rFonts w:ascii="宋体"/>
                <w:bCs/>
                <w:lang w:eastAsia="zh-CN"/>
              </w:rPr>
              <w:t>2</w:t>
            </w:r>
            <w:r>
              <w:rPr>
                <w:rFonts w:hint="eastAsia" w:ascii="宋体"/>
                <w:bCs/>
                <w:lang w:eastAsia="zh-CN"/>
              </w:rPr>
              <w:t>、自然人应提交：</w:t>
            </w:r>
          </w:p>
          <w:p>
            <w:pPr>
              <w:rPr>
                <w:rFonts w:ascii="宋体"/>
                <w:bCs/>
                <w:lang w:eastAsia="zh-CN"/>
              </w:rPr>
            </w:pPr>
            <w:r>
              <w:rPr>
                <w:rFonts w:hint="eastAsia" w:ascii="宋体"/>
                <w:bCs/>
                <w:lang w:eastAsia="zh-CN"/>
              </w:rPr>
              <w:t>（1）意向承租方身份证；</w:t>
            </w:r>
          </w:p>
          <w:p>
            <w:pPr>
              <w:rPr>
                <w:rFonts w:ascii="宋体"/>
                <w:bCs/>
                <w:lang w:eastAsia="zh-CN"/>
              </w:rPr>
            </w:pPr>
            <w:r>
              <w:rPr>
                <w:rFonts w:hint="eastAsia" w:ascii="宋体"/>
                <w:bCs/>
                <w:lang w:eastAsia="zh-CN"/>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jc w:val="center"/>
        </w:trPr>
        <w:tc>
          <w:tcPr>
            <w:tcW w:w="1753" w:type="dxa"/>
            <w:vAlign w:val="center"/>
          </w:tcPr>
          <w:p>
            <w:pPr>
              <w:pStyle w:val="40"/>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9" w:type="dxa"/>
            <w:gridSpan w:val="6"/>
            <w:vAlign w:val="center"/>
          </w:tcPr>
          <w:p>
            <w:pPr>
              <w:rPr>
                <w:rFonts w:ascii="宋体"/>
                <w:bCs/>
                <w:lang w:eastAsia="zh-CN"/>
              </w:rPr>
            </w:pPr>
            <w:r>
              <w:rPr>
                <w:rFonts w:hint="eastAsia" w:ascii="宋体"/>
                <w:bCs/>
                <w:lang w:eastAsia="zh-CN"/>
              </w:rPr>
              <w:t>1、我方如被确认为承租方，同意按照出租方提交的《</w:t>
            </w:r>
            <w:r>
              <w:rPr>
                <w:rFonts w:hint="eastAsia" w:ascii="宋体"/>
                <w:bCs/>
                <w:u w:val="single"/>
                <w:lang w:eastAsia="zh-CN"/>
              </w:rPr>
              <w:t xml:space="preserve">   </w:t>
            </w:r>
            <w:r>
              <w:rPr>
                <w:rFonts w:hint="eastAsia" w:ascii="宋体"/>
                <w:bCs/>
                <w:lang w:eastAsia="zh-CN"/>
              </w:rPr>
              <w:t>租赁合同》版本签署合同。</w:t>
            </w:r>
          </w:p>
          <w:p>
            <w:pPr>
              <w:rPr>
                <w:rFonts w:ascii="宋体"/>
                <w:bCs/>
                <w:lang w:eastAsia="zh-CN"/>
              </w:rPr>
            </w:pPr>
            <w:r>
              <w:rPr>
                <w:rFonts w:ascii="宋体"/>
                <w:bCs/>
                <w:lang w:eastAsia="zh-CN"/>
              </w:rPr>
              <w:t>2</w:t>
            </w:r>
            <w:r>
              <w:rPr>
                <w:rFonts w:hint="eastAsia" w:ascii="宋体"/>
                <w:bCs/>
                <w:lang w:eastAsia="zh-CN"/>
              </w:rPr>
              <w:t>、</w:t>
            </w:r>
          </w:p>
        </w:tc>
      </w:tr>
    </w:tbl>
    <w:p>
      <w:pPr>
        <w:rPr>
          <w:lang w:eastAsia="zh-CN"/>
        </w:rPr>
      </w:pPr>
    </w:p>
    <w:sectPr>
      <w:headerReference r:id="rId3" w:type="default"/>
      <w:footerReference r:id="rId4" w:type="default"/>
      <w:pgSz w:w="11906" w:h="16838"/>
      <w:pgMar w:top="1276"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华文中宋" w:hAnsi="华文中宋" w:eastAsia="华文中宋"/>
        <w:sz w:val="21"/>
        <w:szCs w:val="21"/>
        <w:lang w:eastAsia="zh-CN"/>
      </w:rPr>
    </w:pPr>
    <w:r>
      <w:rPr>
        <w:rFonts w:hint="eastAsia" w:ascii="华文仿宋" w:hAnsi="华文仿宋" w:eastAsia="华文仿宋"/>
        <w:sz w:val="21"/>
        <w:szCs w:val="21"/>
        <w:lang w:eastAsia="zh-CN"/>
      </w:rPr>
      <w:t>V201</w:t>
    </w:r>
    <w:r>
      <w:rPr>
        <w:rFonts w:ascii="华文仿宋" w:hAnsi="华文仿宋" w:eastAsia="华文仿宋"/>
        <w:sz w:val="21"/>
        <w:szCs w:val="21"/>
        <w:lang w:eastAsia="zh-CN"/>
      </w:rPr>
      <w:t>9</w:t>
    </w:r>
    <w:r>
      <w:rPr>
        <w:rFonts w:hint="eastAsia" w:ascii="华文仿宋" w:hAnsi="华文仿宋" w:eastAsia="华文仿宋"/>
        <w:sz w:val="21"/>
        <w:szCs w:val="21"/>
        <w:lang w:eastAsia="zh-CN"/>
      </w:rPr>
      <w:t>.</w:t>
    </w:r>
    <w:r>
      <w:rPr>
        <w:rFonts w:ascii="华文仿宋" w:hAnsi="华文仿宋" w:eastAsia="华文仿宋"/>
        <w:sz w:val="21"/>
        <w:szCs w:val="21"/>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Y0NGQzNGNmNGIxYTNkZWJkZjBhMTUyNTY1Y2NkNmEifQ=="/>
  </w:docVars>
  <w:rsids>
    <w:rsidRoot w:val="00E82179"/>
    <w:rsid w:val="000005AE"/>
    <w:rsid w:val="000006CE"/>
    <w:rsid w:val="00000921"/>
    <w:rsid w:val="00003FEB"/>
    <w:rsid w:val="000064ED"/>
    <w:rsid w:val="000070CA"/>
    <w:rsid w:val="00007EB6"/>
    <w:rsid w:val="00010E7A"/>
    <w:rsid w:val="00012651"/>
    <w:rsid w:val="0001442E"/>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56695"/>
    <w:rsid w:val="00060EAA"/>
    <w:rsid w:val="0006238B"/>
    <w:rsid w:val="00070326"/>
    <w:rsid w:val="00070D70"/>
    <w:rsid w:val="0007123F"/>
    <w:rsid w:val="000713FB"/>
    <w:rsid w:val="000722CA"/>
    <w:rsid w:val="000739B4"/>
    <w:rsid w:val="0007466E"/>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213"/>
    <w:rsid w:val="000F6FB4"/>
    <w:rsid w:val="00100F3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257"/>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0DC8"/>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19CF"/>
    <w:rsid w:val="00172B6F"/>
    <w:rsid w:val="00173D58"/>
    <w:rsid w:val="001753E7"/>
    <w:rsid w:val="00175CFB"/>
    <w:rsid w:val="00176C40"/>
    <w:rsid w:val="00177661"/>
    <w:rsid w:val="00180C5E"/>
    <w:rsid w:val="001813F0"/>
    <w:rsid w:val="00181A22"/>
    <w:rsid w:val="001871CC"/>
    <w:rsid w:val="00190C25"/>
    <w:rsid w:val="00190E02"/>
    <w:rsid w:val="001921EE"/>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407D"/>
    <w:rsid w:val="001E6307"/>
    <w:rsid w:val="001E6D91"/>
    <w:rsid w:val="001F49FC"/>
    <w:rsid w:val="001F4A8F"/>
    <w:rsid w:val="001F6C21"/>
    <w:rsid w:val="001F7C88"/>
    <w:rsid w:val="00200A56"/>
    <w:rsid w:val="002010EE"/>
    <w:rsid w:val="002038C2"/>
    <w:rsid w:val="00203D4C"/>
    <w:rsid w:val="00205CD6"/>
    <w:rsid w:val="0020635B"/>
    <w:rsid w:val="002070BB"/>
    <w:rsid w:val="00207ADB"/>
    <w:rsid w:val="00210348"/>
    <w:rsid w:val="0021078D"/>
    <w:rsid w:val="00211E25"/>
    <w:rsid w:val="002124A8"/>
    <w:rsid w:val="00214332"/>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41"/>
    <w:rsid w:val="00291490"/>
    <w:rsid w:val="00291E47"/>
    <w:rsid w:val="00292530"/>
    <w:rsid w:val="00293E7D"/>
    <w:rsid w:val="00293FB9"/>
    <w:rsid w:val="00294079"/>
    <w:rsid w:val="0029489B"/>
    <w:rsid w:val="00294B09"/>
    <w:rsid w:val="002A0ECF"/>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671D"/>
    <w:rsid w:val="002C7054"/>
    <w:rsid w:val="002C7C9E"/>
    <w:rsid w:val="002D3F86"/>
    <w:rsid w:val="002D4904"/>
    <w:rsid w:val="002D4B94"/>
    <w:rsid w:val="002D6D5D"/>
    <w:rsid w:val="002E015E"/>
    <w:rsid w:val="002E04FA"/>
    <w:rsid w:val="002E0991"/>
    <w:rsid w:val="002E1C6B"/>
    <w:rsid w:val="002E3F4C"/>
    <w:rsid w:val="002E42DD"/>
    <w:rsid w:val="002E5D0D"/>
    <w:rsid w:val="002E65A5"/>
    <w:rsid w:val="002E7767"/>
    <w:rsid w:val="002E7DFE"/>
    <w:rsid w:val="002E7E1D"/>
    <w:rsid w:val="002F104C"/>
    <w:rsid w:val="002F1B3E"/>
    <w:rsid w:val="002F4414"/>
    <w:rsid w:val="002F4B16"/>
    <w:rsid w:val="002F6621"/>
    <w:rsid w:val="003001CF"/>
    <w:rsid w:val="0030045A"/>
    <w:rsid w:val="00300CF9"/>
    <w:rsid w:val="003015B0"/>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1864"/>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3740"/>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9476B"/>
    <w:rsid w:val="003949F9"/>
    <w:rsid w:val="003A020E"/>
    <w:rsid w:val="003A1697"/>
    <w:rsid w:val="003A3AB0"/>
    <w:rsid w:val="003A4E36"/>
    <w:rsid w:val="003A5887"/>
    <w:rsid w:val="003A5A88"/>
    <w:rsid w:val="003A6A9D"/>
    <w:rsid w:val="003A772D"/>
    <w:rsid w:val="003B36B7"/>
    <w:rsid w:val="003B3AE8"/>
    <w:rsid w:val="003B6CF6"/>
    <w:rsid w:val="003C22D2"/>
    <w:rsid w:val="003C2525"/>
    <w:rsid w:val="003C30E1"/>
    <w:rsid w:val="003C31CF"/>
    <w:rsid w:val="003C3270"/>
    <w:rsid w:val="003C3578"/>
    <w:rsid w:val="003C4744"/>
    <w:rsid w:val="003C780C"/>
    <w:rsid w:val="003D134C"/>
    <w:rsid w:val="003D197E"/>
    <w:rsid w:val="003D254C"/>
    <w:rsid w:val="003D3296"/>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275FA"/>
    <w:rsid w:val="00430E04"/>
    <w:rsid w:val="004320E6"/>
    <w:rsid w:val="00432E7C"/>
    <w:rsid w:val="00435A22"/>
    <w:rsid w:val="00437929"/>
    <w:rsid w:val="00437FEE"/>
    <w:rsid w:val="00441B29"/>
    <w:rsid w:val="00442A56"/>
    <w:rsid w:val="00442BC6"/>
    <w:rsid w:val="00443BB0"/>
    <w:rsid w:val="00445A26"/>
    <w:rsid w:val="00445B6B"/>
    <w:rsid w:val="00446E3A"/>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87969"/>
    <w:rsid w:val="00490EF3"/>
    <w:rsid w:val="00493DE2"/>
    <w:rsid w:val="00495362"/>
    <w:rsid w:val="0049661A"/>
    <w:rsid w:val="004A083A"/>
    <w:rsid w:val="004A0FA2"/>
    <w:rsid w:val="004A34AD"/>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1E5"/>
    <w:rsid w:val="004E4DEF"/>
    <w:rsid w:val="004E5B8F"/>
    <w:rsid w:val="004E795D"/>
    <w:rsid w:val="004F0548"/>
    <w:rsid w:val="004F0EFC"/>
    <w:rsid w:val="004F20C8"/>
    <w:rsid w:val="004F42B3"/>
    <w:rsid w:val="004F4B50"/>
    <w:rsid w:val="004F51B3"/>
    <w:rsid w:val="004F6E8D"/>
    <w:rsid w:val="00500157"/>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3CF3"/>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07E"/>
    <w:rsid w:val="005C3306"/>
    <w:rsid w:val="005C3F35"/>
    <w:rsid w:val="005C484A"/>
    <w:rsid w:val="005C4DD8"/>
    <w:rsid w:val="005C6B22"/>
    <w:rsid w:val="005C7FAA"/>
    <w:rsid w:val="005D027B"/>
    <w:rsid w:val="005D12D4"/>
    <w:rsid w:val="005D1BB0"/>
    <w:rsid w:val="005D3091"/>
    <w:rsid w:val="005D3C4F"/>
    <w:rsid w:val="005D3E30"/>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2698"/>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1440D"/>
    <w:rsid w:val="006201E6"/>
    <w:rsid w:val="0062168C"/>
    <w:rsid w:val="0062306B"/>
    <w:rsid w:val="00623E0C"/>
    <w:rsid w:val="006305C7"/>
    <w:rsid w:val="0063271A"/>
    <w:rsid w:val="00632C99"/>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118"/>
    <w:rsid w:val="006A3D72"/>
    <w:rsid w:val="006A670F"/>
    <w:rsid w:val="006A67FE"/>
    <w:rsid w:val="006A6CC2"/>
    <w:rsid w:val="006B0282"/>
    <w:rsid w:val="006B18E9"/>
    <w:rsid w:val="006B1C7C"/>
    <w:rsid w:val="006B3C6E"/>
    <w:rsid w:val="006B43EA"/>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12434"/>
    <w:rsid w:val="00720068"/>
    <w:rsid w:val="0072297F"/>
    <w:rsid w:val="007268AF"/>
    <w:rsid w:val="00727792"/>
    <w:rsid w:val="0073326E"/>
    <w:rsid w:val="0073456D"/>
    <w:rsid w:val="00735974"/>
    <w:rsid w:val="0074017D"/>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0EB1"/>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37FD"/>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072A"/>
    <w:rsid w:val="007E1516"/>
    <w:rsid w:val="007E1E55"/>
    <w:rsid w:val="007E21EA"/>
    <w:rsid w:val="007E3F28"/>
    <w:rsid w:val="007E482C"/>
    <w:rsid w:val="007E504C"/>
    <w:rsid w:val="007E54EF"/>
    <w:rsid w:val="007E5A1D"/>
    <w:rsid w:val="007E6689"/>
    <w:rsid w:val="007E688E"/>
    <w:rsid w:val="007E7FF2"/>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0A5A"/>
    <w:rsid w:val="008314F0"/>
    <w:rsid w:val="008349E5"/>
    <w:rsid w:val="008414E1"/>
    <w:rsid w:val="00841A3F"/>
    <w:rsid w:val="00842513"/>
    <w:rsid w:val="00842900"/>
    <w:rsid w:val="00843D0E"/>
    <w:rsid w:val="00844564"/>
    <w:rsid w:val="00844CE6"/>
    <w:rsid w:val="00844F1E"/>
    <w:rsid w:val="00845877"/>
    <w:rsid w:val="008464BE"/>
    <w:rsid w:val="00850857"/>
    <w:rsid w:val="008522E2"/>
    <w:rsid w:val="00852E28"/>
    <w:rsid w:val="00854C11"/>
    <w:rsid w:val="008550E2"/>
    <w:rsid w:val="00855A06"/>
    <w:rsid w:val="00857AD7"/>
    <w:rsid w:val="00860CB7"/>
    <w:rsid w:val="00860F7B"/>
    <w:rsid w:val="00862D2F"/>
    <w:rsid w:val="00863A2F"/>
    <w:rsid w:val="00863DB2"/>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86978"/>
    <w:rsid w:val="0089003B"/>
    <w:rsid w:val="0089153D"/>
    <w:rsid w:val="00891D96"/>
    <w:rsid w:val="00891FE1"/>
    <w:rsid w:val="00892178"/>
    <w:rsid w:val="008927C7"/>
    <w:rsid w:val="00895669"/>
    <w:rsid w:val="00895C0A"/>
    <w:rsid w:val="00897477"/>
    <w:rsid w:val="008A024B"/>
    <w:rsid w:val="008A1B87"/>
    <w:rsid w:val="008A2C48"/>
    <w:rsid w:val="008A5029"/>
    <w:rsid w:val="008A5872"/>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33D3"/>
    <w:rsid w:val="00944045"/>
    <w:rsid w:val="00944501"/>
    <w:rsid w:val="009451E3"/>
    <w:rsid w:val="0094601C"/>
    <w:rsid w:val="00947F92"/>
    <w:rsid w:val="00950202"/>
    <w:rsid w:val="00953B35"/>
    <w:rsid w:val="0095443C"/>
    <w:rsid w:val="009553EF"/>
    <w:rsid w:val="00955643"/>
    <w:rsid w:val="00956BBD"/>
    <w:rsid w:val="009606DA"/>
    <w:rsid w:val="009621E0"/>
    <w:rsid w:val="009635BD"/>
    <w:rsid w:val="009647DA"/>
    <w:rsid w:val="00965938"/>
    <w:rsid w:val="00967717"/>
    <w:rsid w:val="00967C7B"/>
    <w:rsid w:val="00967EED"/>
    <w:rsid w:val="009716A0"/>
    <w:rsid w:val="00971C5D"/>
    <w:rsid w:val="00974393"/>
    <w:rsid w:val="00974397"/>
    <w:rsid w:val="00983165"/>
    <w:rsid w:val="00983DC2"/>
    <w:rsid w:val="00986F10"/>
    <w:rsid w:val="00987032"/>
    <w:rsid w:val="009872B3"/>
    <w:rsid w:val="00990B42"/>
    <w:rsid w:val="009926EE"/>
    <w:rsid w:val="00992C37"/>
    <w:rsid w:val="009973C9"/>
    <w:rsid w:val="00997BB0"/>
    <w:rsid w:val="009A06B3"/>
    <w:rsid w:val="009A1EC3"/>
    <w:rsid w:val="009A246C"/>
    <w:rsid w:val="009A2F84"/>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4E72"/>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41C"/>
    <w:rsid w:val="00A577C3"/>
    <w:rsid w:val="00A57CDA"/>
    <w:rsid w:val="00A603FE"/>
    <w:rsid w:val="00A61747"/>
    <w:rsid w:val="00A63469"/>
    <w:rsid w:val="00A6599F"/>
    <w:rsid w:val="00A66715"/>
    <w:rsid w:val="00A70886"/>
    <w:rsid w:val="00A7264B"/>
    <w:rsid w:val="00A734FE"/>
    <w:rsid w:val="00A739AC"/>
    <w:rsid w:val="00A74069"/>
    <w:rsid w:val="00A7408C"/>
    <w:rsid w:val="00A7450C"/>
    <w:rsid w:val="00A746FE"/>
    <w:rsid w:val="00A74D85"/>
    <w:rsid w:val="00A74EA0"/>
    <w:rsid w:val="00A770E3"/>
    <w:rsid w:val="00A7767E"/>
    <w:rsid w:val="00A801D9"/>
    <w:rsid w:val="00A829A7"/>
    <w:rsid w:val="00A84A65"/>
    <w:rsid w:val="00A90E74"/>
    <w:rsid w:val="00A915EC"/>
    <w:rsid w:val="00A9334D"/>
    <w:rsid w:val="00A9504A"/>
    <w:rsid w:val="00A952B3"/>
    <w:rsid w:val="00A95FFD"/>
    <w:rsid w:val="00A96998"/>
    <w:rsid w:val="00A97279"/>
    <w:rsid w:val="00A97A11"/>
    <w:rsid w:val="00AA0A45"/>
    <w:rsid w:val="00AA4E78"/>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3FA4"/>
    <w:rsid w:val="00AD42B2"/>
    <w:rsid w:val="00AD5217"/>
    <w:rsid w:val="00AD6253"/>
    <w:rsid w:val="00AD6D1D"/>
    <w:rsid w:val="00AD7161"/>
    <w:rsid w:val="00AD7F80"/>
    <w:rsid w:val="00AE151E"/>
    <w:rsid w:val="00AE2398"/>
    <w:rsid w:val="00AE250B"/>
    <w:rsid w:val="00AE3C68"/>
    <w:rsid w:val="00AE4C69"/>
    <w:rsid w:val="00AE4D8F"/>
    <w:rsid w:val="00AE75F1"/>
    <w:rsid w:val="00AF0A0D"/>
    <w:rsid w:val="00AF0F11"/>
    <w:rsid w:val="00AF1054"/>
    <w:rsid w:val="00AF1D2D"/>
    <w:rsid w:val="00AF3C16"/>
    <w:rsid w:val="00AF6BA5"/>
    <w:rsid w:val="00AF6CEB"/>
    <w:rsid w:val="00AF6E16"/>
    <w:rsid w:val="00AF7EF2"/>
    <w:rsid w:val="00B00764"/>
    <w:rsid w:val="00B0124E"/>
    <w:rsid w:val="00B02036"/>
    <w:rsid w:val="00B020F2"/>
    <w:rsid w:val="00B0260B"/>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2DC1"/>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DBC"/>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4725"/>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5A22"/>
    <w:rsid w:val="00BC6F52"/>
    <w:rsid w:val="00BC7510"/>
    <w:rsid w:val="00BC7932"/>
    <w:rsid w:val="00BD1705"/>
    <w:rsid w:val="00BD1FBC"/>
    <w:rsid w:val="00BD2CF7"/>
    <w:rsid w:val="00BD2F1E"/>
    <w:rsid w:val="00BE070A"/>
    <w:rsid w:val="00BE1098"/>
    <w:rsid w:val="00BE2B0B"/>
    <w:rsid w:val="00BE422A"/>
    <w:rsid w:val="00BE4613"/>
    <w:rsid w:val="00BE4919"/>
    <w:rsid w:val="00BE4AB3"/>
    <w:rsid w:val="00BE6689"/>
    <w:rsid w:val="00BE6F82"/>
    <w:rsid w:val="00BE7871"/>
    <w:rsid w:val="00BF0D9B"/>
    <w:rsid w:val="00BF14A1"/>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046B"/>
    <w:rsid w:val="00C22CA6"/>
    <w:rsid w:val="00C23BDE"/>
    <w:rsid w:val="00C23EA1"/>
    <w:rsid w:val="00C24F8E"/>
    <w:rsid w:val="00C269B5"/>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1B0"/>
    <w:rsid w:val="00C63C11"/>
    <w:rsid w:val="00C645A0"/>
    <w:rsid w:val="00C6490D"/>
    <w:rsid w:val="00C675DB"/>
    <w:rsid w:val="00C7222C"/>
    <w:rsid w:val="00C72999"/>
    <w:rsid w:val="00C72C44"/>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355E"/>
    <w:rsid w:val="00CB41D4"/>
    <w:rsid w:val="00CB48C2"/>
    <w:rsid w:val="00CB7876"/>
    <w:rsid w:val="00CB7EBC"/>
    <w:rsid w:val="00CC083C"/>
    <w:rsid w:val="00CC1351"/>
    <w:rsid w:val="00CC2D62"/>
    <w:rsid w:val="00CC3834"/>
    <w:rsid w:val="00CC3F5C"/>
    <w:rsid w:val="00CC50CF"/>
    <w:rsid w:val="00CC537C"/>
    <w:rsid w:val="00CC57DA"/>
    <w:rsid w:val="00CC6447"/>
    <w:rsid w:val="00CD14D9"/>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12A"/>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631B"/>
    <w:rsid w:val="00D67D53"/>
    <w:rsid w:val="00D71A73"/>
    <w:rsid w:val="00D7348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26CA"/>
    <w:rsid w:val="00E031BF"/>
    <w:rsid w:val="00E0394E"/>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2941"/>
    <w:rsid w:val="00E6499B"/>
    <w:rsid w:val="00E64B40"/>
    <w:rsid w:val="00E65FF7"/>
    <w:rsid w:val="00E67F1B"/>
    <w:rsid w:val="00E75193"/>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4B78"/>
    <w:rsid w:val="00EC5C2E"/>
    <w:rsid w:val="00EC61C0"/>
    <w:rsid w:val="00EC670D"/>
    <w:rsid w:val="00EC6FBC"/>
    <w:rsid w:val="00EC76EC"/>
    <w:rsid w:val="00EC798E"/>
    <w:rsid w:val="00ED04FD"/>
    <w:rsid w:val="00ED28A8"/>
    <w:rsid w:val="00ED753D"/>
    <w:rsid w:val="00EE0117"/>
    <w:rsid w:val="00EE0664"/>
    <w:rsid w:val="00EE10CF"/>
    <w:rsid w:val="00EE10D6"/>
    <w:rsid w:val="00EE169E"/>
    <w:rsid w:val="00EE3558"/>
    <w:rsid w:val="00EE3781"/>
    <w:rsid w:val="00EE5F09"/>
    <w:rsid w:val="00EE7126"/>
    <w:rsid w:val="00EE78AF"/>
    <w:rsid w:val="00EF3437"/>
    <w:rsid w:val="00EF3C1B"/>
    <w:rsid w:val="00EF4C57"/>
    <w:rsid w:val="00EF599E"/>
    <w:rsid w:val="00EF5A2A"/>
    <w:rsid w:val="00EF67D5"/>
    <w:rsid w:val="00EF6A29"/>
    <w:rsid w:val="00EF6C7F"/>
    <w:rsid w:val="00F010F0"/>
    <w:rsid w:val="00F02468"/>
    <w:rsid w:val="00F02A85"/>
    <w:rsid w:val="00F07309"/>
    <w:rsid w:val="00F07AF2"/>
    <w:rsid w:val="00F10578"/>
    <w:rsid w:val="00F10D4D"/>
    <w:rsid w:val="00F115B7"/>
    <w:rsid w:val="00F12922"/>
    <w:rsid w:val="00F13D6A"/>
    <w:rsid w:val="00F16D9F"/>
    <w:rsid w:val="00F16EAF"/>
    <w:rsid w:val="00F2085B"/>
    <w:rsid w:val="00F26261"/>
    <w:rsid w:val="00F302B7"/>
    <w:rsid w:val="00F32598"/>
    <w:rsid w:val="00F327BB"/>
    <w:rsid w:val="00F330CE"/>
    <w:rsid w:val="00F332EC"/>
    <w:rsid w:val="00F35739"/>
    <w:rsid w:val="00F36F5E"/>
    <w:rsid w:val="00F36FD9"/>
    <w:rsid w:val="00F454C6"/>
    <w:rsid w:val="00F45D51"/>
    <w:rsid w:val="00F479EC"/>
    <w:rsid w:val="00F511C2"/>
    <w:rsid w:val="00F529DB"/>
    <w:rsid w:val="00F54840"/>
    <w:rsid w:val="00F5538F"/>
    <w:rsid w:val="00F55505"/>
    <w:rsid w:val="00F56040"/>
    <w:rsid w:val="00F56C2E"/>
    <w:rsid w:val="00F56C4C"/>
    <w:rsid w:val="00F57FC8"/>
    <w:rsid w:val="00F60750"/>
    <w:rsid w:val="00F6135D"/>
    <w:rsid w:val="00F62B33"/>
    <w:rsid w:val="00F62F7B"/>
    <w:rsid w:val="00F64A8E"/>
    <w:rsid w:val="00F67C2B"/>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01C"/>
    <w:rsid w:val="00F974DB"/>
    <w:rsid w:val="00FA231B"/>
    <w:rsid w:val="00FA3618"/>
    <w:rsid w:val="00FA4EAF"/>
    <w:rsid w:val="00FA611D"/>
    <w:rsid w:val="00FA6356"/>
    <w:rsid w:val="00FB0BFE"/>
    <w:rsid w:val="00FB4BC8"/>
    <w:rsid w:val="00FB4BFD"/>
    <w:rsid w:val="00FB57F0"/>
    <w:rsid w:val="00FB60F3"/>
    <w:rsid w:val="00FB6FA8"/>
    <w:rsid w:val="00FB7C96"/>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6C98"/>
    <w:rsid w:val="00FF7703"/>
    <w:rsid w:val="0DDC6B07"/>
    <w:rsid w:val="562305DC"/>
    <w:rsid w:val="5AE67C15"/>
    <w:rsid w:val="62E84393"/>
    <w:rsid w:val="64BD6A7F"/>
    <w:rsid w:val="6AE864F3"/>
    <w:rsid w:val="7F8C6F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7"/>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8"/>
    <w:qFormat/>
    <w:uiPriority w:val="99"/>
    <w:pPr>
      <w:keepNext/>
      <w:spacing w:before="240" w:after="60"/>
      <w:outlineLvl w:val="1"/>
    </w:pPr>
    <w:rPr>
      <w:rFonts w:ascii="Cambria" w:hAnsi="Cambria"/>
      <w:b/>
      <w:bCs/>
      <w:i/>
      <w:iCs/>
      <w:sz w:val="28"/>
      <w:szCs w:val="28"/>
    </w:rPr>
  </w:style>
  <w:style w:type="paragraph" w:styleId="4">
    <w:name w:val="heading 3"/>
    <w:basedOn w:val="1"/>
    <w:next w:val="1"/>
    <w:link w:val="29"/>
    <w:qFormat/>
    <w:uiPriority w:val="99"/>
    <w:pPr>
      <w:keepNext/>
      <w:spacing w:before="240" w:after="60"/>
      <w:outlineLvl w:val="2"/>
    </w:pPr>
    <w:rPr>
      <w:rFonts w:ascii="Cambria" w:hAnsi="Cambria"/>
      <w:b/>
      <w:bCs/>
      <w:sz w:val="26"/>
      <w:szCs w:val="26"/>
    </w:rPr>
  </w:style>
  <w:style w:type="paragraph" w:styleId="5">
    <w:name w:val="heading 4"/>
    <w:basedOn w:val="1"/>
    <w:next w:val="1"/>
    <w:link w:val="30"/>
    <w:qFormat/>
    <w:uiPriority w:val="99"/>
    <w:pPr>
      <w:keepNext/>
      <w:spacing w:before="240" w:after="60"/>
      <w:outlineLvl w:val="3"/>
    </w:pPr>
    <w:rPr>
      <w:b/>
      <w:bCs/>
      <w:sz w:val="28"/>
      <w:szCs w:val="28"/>
    </w:rPr>
  </w:style>
  <w:style w:type="paragraph" w:styleId="6">
    <w:name w:val="heading 5"/>
    <w:basedOn w:val="1"/>
    <w:next w:val="1"/>
    <w:link w:val="31"/>
    <w:qFormat/>
    <w:uiPriority w:val="99"/>
    <w:pPr>
      <w:spacing w:before="240" w:after="60"/>
      <w:outlineLvl w:val="4"/>
    </w:pPr>
    <w:rPr>
      <w:b/>
      <w:bCs/>
      <w:i/>
      <w:iCs/>
      <w:sz w:val="26"/>
      <w:szCs w:val="26"/>
    </w:rPr>
  </w:style>
  <w:style w:type="paragraph" w:styleId="7">
    <w:name w:val="heading 6"/>
    <w:basedOn w:val="1"/>
    <w:next w:val="1"/>
    <w:link w:val="32"/>
    <w:qFormat/>
    <w:uiPriority w:val="99"/>
    <w:pPr>
      <w:spacing w:before="240" w:after="60"/>
      <w:outlineLvl w:val="5"/>
    </w:pPr>
    <w:rPr>
      <w:b/>
      <w:bCs/>
      <w:sz w:val="22"/>
      <w:szCs w:val="22"/>
    </w:rPr>
  </w:style>
  <w:style w:type="paragraph" w:styleId="8">
    <w:name w:val="heading 7"/>
    <w:basedOn w:val="1"/>
    <w:next w:val="1"/>
    <w:link w:val="33"/>
    <w:qFormat/>
    <w:uiPriority w:val="99"/>
    <w:pPr>
      <w:spacing w:before="240" w:after="60"/>
      <w:outlineLvl w:val="6"/>
    </w:pPr>
  </w:style>
  <w:style w:type="paragraph" w:styleId="9">
    <w:name w:val="heading 8"/>
    <w:basedOn w:val="1"/>
    <w:next w:val="1"/>
    <w:link w:val="34"/>
    <w:qFormat/>
    <w:uiPriority w:val="99"/>
    <w:pPr>
      <w:spacing w:before="240" w:after="60"/>
      <w:outlineLvl w:val="7"/>
    </w:pPr>
    <w:rPr>
      <w:i/>
      <w:iCs/>
    </w:rPr>
  </w:style>
  <w:style w:type="paragraph" w:styleId="10">
    <w:name w:val="heading 9"/>
    <w:basedOn w:val="1"/>
    <w:next w:val="1"/>
    <w:link w:val="35"/>
    <w:qFormat/>
    <w:uiPriority w:val="99"/>
    <w:pPr>
      <w:spacing w:before="240" w:after="60"/>
      <w:outlineLvl w:val="8"/>
    </w:pPr>
    <w:rPr>
      <w:rFonts w:ascii="Cambria" w:hAnsi="Cambria"/>
      <w:sz w:val="22"/>
      <w:szCs w:val="2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3"/>
    <w:semiHidden/>
    <w:qFormat/>
    <w:uiPriority w:val="99"/>
  </w:style>
  <w:style w:type="paragraph" w:styleId="12">
    <w:name w:val="Body Text Indent 2"/>
    <w:basedOn w:val="1"/>
    <w:link w:val="41"/>
    <w:qFormat/>
    <w:uiPriority w:val="99"/>
    <w:pPr>
      <w:spacing w:after="120" w:line="480" w:lineRule="auto"/>
      <w:ind w:left="420" w:leftChars="200"/>
    </w:pPr>
  </w:style>
  <w:style w:type="paragraph" w:styleId="13">
    <w:name w:val="Balloon Text"/>
    <w:basedOn w:val="1"/>
    <w:link w:val="36"/>
    <w:semiHidden/>
    <w:qFormat/>
    <w:uiPriority w:val="99"/>
    <w:rPr>
      <w:sz w:val="18"/>
      <w:szCs w:val="18"/>
    </w:rPr>
  </w:style>
  <w:style w:type="paragraph" w:styleId="14">
    <w:name w:val="footer"/>
    <w:basedOn w:val="1"/>
    <w:link w:val="37"/>
    <w:qFormat/>
    <w:uiPriority w:val="99"/>
    <w:pPr>
      <w:tabs>
        <w:tab w:val="center" w:pos="4153"/>
        <w:tab w:val="right" w:pos="8306"/>
      </w:tabs>
      <w:snapToGrid w:val="0"/>
    </w:pPr>
    <w:rPr>
      <w:sz w:val="18"/>
      <w:szCs w:val="18"/>
    </w:rPr>
  </w:style>
  <w:style w:type="paragraph" w:styleId="15">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48"/>
    <w:qFormat/>
    <w:uiPriority w:val="99"/>
    <w:pPr>
      <w:spacing w:after="60"/>
      <w:jc w:val="center"/>
      <w:outlineLvl w:val="1"/>
    </w:pPr>
    <w:rPr>
      <w:rFonts w:ascii="Cambria" w:hAnsi="Cambria"/>
    </w:rPr>
  </w:style>
  <w:style w:type="paragraph" w:styleId="17">
    <w:name w:val="Title"/>
    <w:basedOn w:val="1"/>
    <w:next w:val="1"/>
    <w:link w:val="47"/>
    <w:qFormat/>
    <w:uiPriority w:val="99"/>
    <w:pPr>
      <w:spacing w:before="240" w:after="60"/>
      <w:jc w:val="center"/>
      <w:outlineLvl w:val="0"/>
    </w:pPr>
    <w:rPr>
      <w:rFonts w:ascii="Cambria" w:hAnsi="Cambria"/>
      <w:b/>
      <w:bCs/>
      <w:kern w:val="28"/>
      <w:sz w:val="32"/>
      <w:szCs w:val="32"/>
    </w:rPr>
  </w:style>
  <w:style w:type="paragraph" w:styleId="18">
    <w:name w:val="annotation subject"/>
    <w:basedOn w:val="11"/>
    <w:next w:val="11"/>
    <w:link w:val="44"/>
    <w:semiHidden/>
    <w:qFormat/>
    <w:uiPriority w:val="99"/>
    <w:rPr>
      <w:b/>
      <w:bCs/>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99"/>
    <w:rPr>
      <w:rFonts w:cs="Times New Roman"/>
      <w:b/>
      <w:bCs/>
    </w:rPr>
  </w:style>
  <w:style w:type="character" w:styleId="23">
    <w:name w:val="page number"/>
    <w:basedOn w:val="21"/>
    <w:qFormat/>
    <w:uiPriority w:val="99"/>
    <w:rPr>
      <w:rFonts w:cs="Times New Roman"/>
    </w:rPr>
  </w:style>
  <w:style w:type="character" w:styleId="24">
    <w:name w:val="Emphasis"/>
    <w:basedOn w:val="21"/>
    <w:qFormat/>
    <w:uiPriority w:val="99"/>
    <w:rPr>
      <w:rFonts w:ascii="Calibri" w:hAnsi="Calibri" w:cs="Times New Roman"/>
      <w:b/>
      <w:i/>
      <w:iCs/>
    </w:rPr>
  </w:style>
  <w:style w:type="character" w:styleId="25">
    <w:name w:val="Hyperlink"/>
    <w:basedOn w:val="21"/>
    <w:qFormat/>
    <w:uiPriority w:val="99"/>
    <w:rPr>
      <w:rFonts w:cs="Times New Roman"/>
      <w:color w:val="0000FF"/>
      <w:u w:val="single"/>
    </w:rPr>
  </w:style>
  <w:style w:type="character" w:styleId="26">
    <w:name w:val="annotation reference"/>
    <w:basedOn w:val="21"/>
    <w:semiHidden/>
    <w:qFormat/>
    <w:uiPriority w:val="99"/>
    <w:rPr>
      <w:rFonts w:cs="Times New Roman"/>
      <w:sz w:val="21"/>
      <w:szCs w:val="21"/>
    </w:rPr>
  </w:style>
  <w:style w:type="character" w:customStyle="1" w:styleId="27">
    <w:name w:val="标题 1 字符"/>
    <w:basedOn w:val="21"/>
    <w:link w:val="2"/>
    <w:qFormat/>
    <w:locked/>
    <w:uiPriority w:val="99"/>
    <w:rPr>
      <w:rFonts w:ascii="Cambria" w:hAnsi="Cambria" w:eastAsia="宋体" w:cs="Times New Roman"/>
      <w:b/>
      <w:bCs/>
      <w:kern w:val="32"/>
      <w:sz w:val="32"/>
      <w:szCs w:val="32"/>
    </w:rPr>
  </w:style>
  <w:style w:type="character" w:customStyle="1" w:styleId="28">
    <w:name w:val="标题 2 字符"/>
    <w:basedOn w:val="21"/>
    <w:link w:val="3"/>
    <w:semiHidden/>
    <w:qFormat/>
    <w:locked/>
    <w:uiPriority w:val="99"/>
    <w:rPr>
      <w:rFonts w:ascii="Cambria" w:hAnsi="Cambria" w:eastAsia="宋体" w:cs="Times New Roman"/>
      <w:b/>
      <w:bCs/>
      <w:i/>
      <w:iCs/>
      <w:sz w:val="28"/>
      <w:szCs w:val="28"/>
    </w:rPr>
  </w:style>
  <w:style w:type="character" w:customStyle="1" w:styleId="29">
    <w:name w:val="标题 3 字符"/>
    <w:basedOn w:val="21"/>
    <w:link w:val="4"/>
    <w:semiHidden/>
    <w:qFormat/>
    <w:locked/>
    <w:uiPriority w:val="99"/>
    <w:rPr>
      <w:rFonts w:ascii="Cambria" w:hAnsi="Cambria" w:eastAsia="宋体" w:cs="Times New Roman"/>
      <w:b/>
      <w:bCs/>
      <w:sz w:val="26"/>
      <w:szCs w:val="26"/>
    </w:rPr>
  </w:style>
  <w:style w:type="character" w:customStyle="1" w:styleId="30">
    <w:name w:val="标题 4 字符"/>
    <w:basedOn w:val="21"/>
    <w:link w:val="5"/>
    <w:qFormat/>
    <w:locked/>
    <w:uiPriority w:val="99"/>
    <w:rPr>
      <w:rFonts w:cs="Times New Roman"/>
      <w:b/>
      <w:bCs/>
      <w:sz w:val="28"/>
      <w:szCs w:val="28"/>
    </w:rPr>
  </w:style>
  <w:style w:type="character" w:customStyle="1" w:styleId="31">
    <w:name w:val="标题 5 字符"/>
    <w:basedOn w:val="21"/>
    <w:link w:val="6"/>
    <w:semiHidden/>
    <w:qFormat/>
    <w:locked/>
    <w:uiPriority w:val="99"/>
    <w:rPr>
      <w:rFonts w:cs="Times New Roman"/>
      <w:b/>
      <w:bCs/>
      <w:i/>
      <w:iCs/>
      <w:sz w:val="26"/>
      <w:szCs w:val="26"/>
    </w:rPr>
  </w:style>
  <w:style w:type="character" w:customStyle="1" w:styleId="32">
    <w:name w:val="标题 6 字符"/>
    <w:basedOn w:val="21"/>
    <w:link w:val="7"/>
    <w:semiHidden/>
    <w:qFormat/>
    <w:locked/>
    <w:uiPriority w:val="99"/>
    <w:rPr>
      <w:rFonts w:cs="Times New Roman"/>
      <w:b/>
      <w:bCs/>
    </w:rPr>
  </w:style>
  <w:style w:type="character" w:customStyle="1" w:styleId="33">
    <w:name w:val="标题 7 字符"/>
    <w:basedOn w:val="21"/>
    <w:link w:val="8"/>
    <w:semiHidden/>
    <w:qFormat/>
    <w:locked/>
    <w:uiPriority w:val="99"/>
    <w:rPr>
      <w:rFonts w:cs="Times New Roman"/>
      <w:sz w:val="24"/>
      <w:szCs w:val="24"/>
    </w:rPr>
  </w:style>
  <w:style w:type="character" w:customStyle="1" w:styleId="34">
    <w:name w:val="标题 8 字符"/>
    <w:basedOn w:val="21"/>
    <w:link w:val="9"/>
    <w:semiHidden/>
    <w:qFormat/>
    <w:locked/>
    <w:uiPriority w:val="99"/>
    <w:rPr>
      <w:rFonts w:cs="Times New Roman"/>
      <w:i/>
      <w:iCs/>
      <w:sz w:val="24"/>
      <w:szCs w:val="24"/>
    </w:rPr>
  </w:style>
  <w:style w:type="character" w:customStyle="1" w:styleId="35">
    <w:name w:val="标题 9 字符"/>
    <w:basedOn w:val="21"/>
    <w:link w:val="10"/>
    <w:semiHidden/>
    <w:qFormat/>
    <w:locked/>
    <w:uiPriority w:val="99"/>
    <w:rPr>
      <w:rFonts w:ascii="Cambria" w:hAnsi="Cambria" w:eastAsia="宋体" w:cs="Times New Roman"/>
    </w:rPr>
  </w:style>
  <w:style w:type="character" w:customStyle="1" w:styleId="36">
    <w:name w:val="批注框文本 字符"/>
    <w:basedOn w:val="21"/>
    <w:link w:val="13"/>
    <w:semiHidden/>
    <w:qFormat/>
    <w:locked/>
    <w:uiPriority w:val="99"/>
    <w:rPr>
      <w:rFonts w:cs="Times New Roman"/>
      <w:kern w:val="0"/>
      <w:sz w:val="2"/>
      <w:lang w:eastAsia="en-US"/>
    </w:rPr>
  </w:style>
  <w:style w:type="character" w:customStyle="1" w:styleId="37">
    <w:name w:val="页脚 字符"/>
    <w:basedOn w:val="21"/>
    <w:link w:val="14"/>
    <w:qFormat/>
    <w:locked/>
    <w:uiPriority w:val="99"/>
    <w:rPr>
      <w:rFonts w:cs="Times New Roman"/>
      <w:sz w:val="18"/>
      <w:szCs w:val="18"/>
      <w:lang w:eastAsia="en-US"/>
    </w:rPr>
  </w:style>
  <w:style w:type="paragraph" w:customStyle="1" w:styleId="38">
    <w:name w:val="1"/>
    <w:basedOn w:val="1"/>
    <w:next w:val="12"/>
    <w:qFormat/>
    <w:uiPriority w:val="0"/>
    <w:pPr>
      <w:spacing w:before="60" w:after="60"/>
      <w:ind w:firstLine="425"/>
    </w:pPr>
  </w:style>
  <w:style w:type="paragraph" w:customStyle="1" w:styleId="39">
    <w:name w:val="样式 标题 1 + 首行缩进:  2 字符"/>
    <w:basedOn w:val="2"/>
    <w:next w:val="1"/>
    <w:qFormat/>
    <w:uiPriority w:val="99"/>
    <w:pPr>
      <w:jc w:val="center"/>
      <w:outlineLvl w:val="9"/>
    </w:pPr>
  </w:style>
  <w:style w:type="paragraph" w:customStyle="1" w:styleId="40">
    <w:name w:val="正文表格"/>
    <w:basedOn w:val="1"/>
    <w:qFormat/>
    <w:uiPriority w:val="99"/>
    <w:pPr>
      <w:spacing w:before="60" w:after="60"/>
    </w:pPr>
  </w:style>
  <w:style w:type="character" w:customStyle="1" w:styleId="41">
    <w:name w:val="正文文本缩进 2 字符"/>
    <w:basedOn w:val="21"/>
    <w:link w:val="12"/>
    <w:semiHidden/>
    <w:qFormat/>
    <w:locked/>
    <w:uiPriority w:val="99"/>
    <w:rPr>
      <w:rFonts w:cs="Times New Roman"/>
      <w:kern w:val="0"/>
      <w:sz w:val="24"/>
      <w:szCs w:val="24"/>
      <w:lang w:eastAsia="en-US"/>
    </w:rPr>
  </w:style>
  <w:style w:type="character" w:customStyle="1" w:styleId="42">
    <w:name w:val="页眉 字符"/>
    <w:basedOn w:val="21"/>
    <w:link w:val="15"/>
    <w:semiHidden/>
    <w:qFormat/>
    <w:locked/>
    <w:uiPriority w:val="99"/>
    <w:rPr>
      <w:rFonts w:cs="Times New Roman"/>
      <w:kern w:val="2"/>
      <w:sz w:val="18"/>
      <w:szCs w:val="18"/>
    </w:rPr>
  </w:style>
  <w:style w:type="character" w:customStyle="1" w:styleId="43">
    <w:name w:val="批注文字 字符"/>
    <w:basedOn w:val="21"/>
    <w:link w:val="11"/>
    <w:semiHidden/>
    <w:qFormat/>
    <w:locked/>
    <w:uiPriority w:val="99"/>
    <w:rPr>
      <w:rFonts w:cs="Times New Roman"/>
      <w:kern w:val="2"/>
      <w:sz w:val="21"/>
    </w:rPr>
  </w:style>
  <w:style w:type="character" w:customStyle="1" w:styleId="44">
    <w:name w:val="批注主题 字符"/>
    <w:basedOn w:val="43"/>
    <w:link w:val="18"/>
    <w:semiHidden/>
    <w:qFormat/>
    <w:locked/>
    <w:uiPriority w:val="99"/>
    <w:rPr>
      <w:rFonts w:cs="Times New Roman"/>
      <w:b/>
      <w:bCs/>
      <w:kern w:val="2"/>
      <w:sz w:val="21"/>
    </w:rPr>
  </w:style>
  <w:style w:type="paragraph" w:customStyle="1" w:styleId="45">
    <w:name w:val="Revision"/>
    <w:hidden/>
    <w:semi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46">
    <w:name w:val="style1"/>
    <w:basedOn w:val="21"/>
    <w:qFormat/>
    <w:uiPriority w:val="99"/>
    <w:rPr>
      <w:rFonts w:cs="Times New Roman"/>
    </w:rPr>
  </w:style>
  <w:style w:type="character" w:customStyle="1" w:styleId="47">
    <w:name w:val="标题 字符"/>
    <w:basedOn w:val="21"/>
    <w:link w:val="17"/>
    <w:qFormat/>
    <w:locked/>
    <w:uiPriority w:val="99"/>
    <w:rPr>
      <w:rFonts w:ascii="Cambria" w:hAnsi="Cambria" w:eastAsia="宋体" w:cs="Times New Roman"/>
      <w:b/>
      <w:bCs/>
      <w:kern w:val="28"/>
      <w:sz w:val="32"/>
      <w:szCs w:val="32"/>
    </w:rPr>
  </w:style>
  <w:style w:type="character" w:customStyle="1" w:styleId="48">
    <w:name w:val="副标题 字符"/>
    <w:basedOn w:val="21"/>
    <w:link w:val="16"/>
    <w:qFormat/>
    <w:locked/>
    <w:uiPriority w:val="99"/>
    <w:rPr>
      <w:rFonts w:ascii="Cambria" w:hAnsi="Cambria" w:eastAsia="宋体" w:cs="Times New Roman"/>
      <w:sz w:val="24"/>
      <w:szCs w:val="24"/>
    </w:rPr>
  </w:style>
  <w:style w:type="paragraph" w:styleId="49">
    <w:name w:val="No Spacing"/>
    <w:basedOn w:val="1"/>
    <w:qFormat/>
    <w:uiPriority w:val="99"/>
    <w:rPr>
      <w:szCs w:val="32"/>
    </w:rPr>
  </w:style>
  <w:style w:type="paragraph" w:styleId="50">
    <w:name w:val="List Paragraph"/>
    <w:basedOn w:val="1"/>
    <w:qFormat/>
    <w:uiPriority w:val="99"/>
    <w:pPr>
      <w:ind w:left="720"/>
      <w:contextualSpacing/>
    </w:pPr>
  </w:style>
  <w:style w:type="paragraph" w:styleId="51">
    <w:name w:val="Quote"/>
    <w:basedOn w:val="1"/>
    <w:next w:val="1"/>
    <w:link w:val="52"/>
    <w:qFormat/>
    <w:uiPriority w:val="99"/>
    <w:rPr>
      <w:i/>
    </w:rPr>
  </w:style>
  <w:style w:type="character" w:customStyle="1" w:styleId="52">
    <w:name w:val="引用 字符"/>
    <w:basedOn w:val="21"/>
    <w:link w:val="51"/>
    <w:qFormat/>
    <w:locked/>
    <w:uiPriority w:val="99"/>
    <w:rPr>
      <w:rFonts w:cs="Times New Roman"/>
      <w:i/>
      <w:sz w:val="24"/>
      <w:szCs w:val="24"/>
    </w:rPr>
  </w:style>
  <w:style w:type="paragraph" w:styleId="53">
    <w:name w:val="Intense Quote"/>
    <w:basedOn w:val="1"/>
    <w:next w:val="1"/>
    <w:link w:val="54"/>
    <w:qFormat/>
    <w:uiPriority w:val="99"/>
    <w:pPr>
      <w:ind w:left="720" w:right="720"/>
    </w:pPr>
    <w:rPr>
      <w:b/>
      <w:i/>
      <w:szCs w:val="22"/>
    </w:rPr>
  </w:style>
  <w:style w:type="character" w:customStyle="1" w:styleId="54">
    <w:name w:val="明显引用 字符"/>
    <w:basedOn w:val="21"/>
    <w:link w:val="53"/>
    <w:qFormat/>
    <w:locked/>
    <w:uiPriority w:val="99"/>
    <w:rPr>
      <w:rFonts w:cs="Times New Roman"/>
      <w:b/>
      <w:i/>
      <w:sz w:val="24"/>
    </w:rPr>
  </w:style>
  <w:style w:type="character" w:customStyle="1" w:styleId="55">
    <w:name w:val="Subtle Emphasis"/>
    <w:basedOn w:val="21"/>
    <w:qFormat/>
    <w:uiPriority w:val="99"/>
    <w:rPr>
      <w:rFonts w:cs="Times New Roman"/>
      <w:i/>
      <w:color w:val="5A5A5A"/>
    </w:rPr>
  </w:style>
  <w:style w:type="character" w:customStyle="1" w:styleId="56">
    <w:name w:val="Intense Emphasis"/>
    <w:basedOn w:val="21"/>
    <w:qFormat/>
    <w:uiPriority w:val="99"/>
    <w:rPr>
      <w:rFonts w:cs="Times New Roman"/>
      <w:b/>
      <w:i/>
      <w:sz w:val="24"/>
      <w:szCs w:val="24"/>
      <w:u w:val="single"/>
    </w:rPr>
  </w:style>
  <w:style w:type="character" w:customStyle="1" w:styleId="57">
    <w:name w:val="Subtle Reference"/>
    <w:basedOn w:val="21"/>
    <w:qFormat/>
    <w:uiPriority w:val="99"/>
    <w:rPr>
      <w:rFonts w:cs="Times New Roman"/>
      <w:sz w:val="24"/>
      <w:szCs w:val="24"/>
      <w:u w:val="single"/>
    </w:rPr>
  </w:style>
  <w:style w:type="character" w:customStyle="1" w:styleId="58">
    <w:name w:val="Intense Reference"/>
    <w:basedOn w:val="21"/>
    <w:qFormat/>
    <w:uiPriority w:val="99"/>
    <w:rPr>
      <w:rFonts w:cs="Times New Roman"/>
      <w:b/>
      <w:sz w:val="24"/>
      <w:u w:val="single"/>
    </w:rPr>
  </w:style>
  <w:style w:type="character" w:customStyle="1" w:styleId="59">
    <w:name w:val="Book Title"/>
    <w:basedOn w:val="21"/>
    <w:qFormat/>
    <w:uiPriority w:val="99"/>
    <w:rPr>
      <w:rFonts w:ascii="Cambria" w:hAnsi="Cambria" w:eastAsia="宋体" w:cs="Times New Roman"/>
      <w:b/>
      <w:i/>
      <w:sz w:val="24"/>
      <w:szCs w:val="24"/>
    </w:rPr>
  </w:style>
  <w:style w:type="paragraph" w:customStyle="1" w:styleId="60">
    <w:name w:val="TOC Heading"/>
    <w:basedOn w:val="2"/>
    <w:next w:val="1"/>
    <w:qFormat/>
    <w:uiPriority w:val="99"/>
    <w:pPr>
      <w:outlineLvl w:val="9"/>
    </w:pPr>
  </w:style>
  <w:style w:type="character" w:customStyle="1" w:styleId="61">
    <w:name w:val="apple-converted-space"/>
    <w:basedOn w:val="2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4618</Words>
  <Characters>4678</Characters>
  <Lines>40</Lines>
  <Paragraphs>11</Paragraphs>
  <TotalTime>1</TotalTime>
  <ScaleCrop>false</ScaleCrop>
  <LinksUpToDate>false</LinksUpToDate>
  <CharactersWithSpaces>5365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2018-02-14T02:01:00Z</dcterms:created>
  <dc:creator>微软用户</dc:creator>
  <cp:lastModifiedBy>高雪飞</cp:lastModifiedBy>
  <cp:lastPrinted>2018-02-24T03:15:00Z</cp:lastPrinted>
  <dcterms:modified xsi:type="dcterms:W3CDTF">2024-04-25T09:12:55Z</dcterms:modified>
  <dc:title>信息发布申请书</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A3431AAC063C4D4EA3ED9F450F53AAA8_12</vt:lpwstr>
  </property>
</Properties>
</file>